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D38F" w14:textId="7DD5FA25" w:rsidR="00133DBE" w:rsidRPr="0098280F" w:rsidRDefault="00133DBE" w:rsidP="005C3F1F">
      <w:pPr>
        <w:autoSpaceDE w:val="0"/>
        <w:autoSpaceDN w:val="0"/>
        <w:adjustRightInd w:val="0"/>
        <w:spacing w:after="0" w:line="276" w:lineRule="auto"/>
        <w:jc w:val="center"/>
        <w:rPr>
          <w:rFonts w:cs="TimesNewRomanPS-BoldMT"/>
          <w:b/>
          <w:bCs/>
          <w:sz w:val="20"/>
          <w:szCs w:val="20"/>
          <w:lang w:val="en-GB"/>
        </w:rPr>
      </w:pPr>
      <w:r w:rsidRPr="0098280F">
        <w:rPr>
          <w:rFonts w:cs="TimesNewRomanPS-BoldMT"/>
          <w:b/>
          <w:bCs/>
          <w:sz w:val="20"/>
          <w:szCs w:val="20"/>
          <w:lang w:val="en-GB"/>
        </w:rPr>
        <w:t>Patient Information Leaflet</w:t>
      </w:r>
    </w:p>
    <w:p w14:paraId="5168E9C4" w14:textId="77777777" w:rsidR="005C3F1F" w:rsidRPr="0098280F" w:rsidRDefault="005C3F1F" w:rsidP="00133DBE">
      <w:pPr>
        <w:autoSpaceDE w:val="0"/>
        <w:autoSpaceDN w:val="0"/>
        <w:adjustRightInd w:val="0"/>
        <w:spacing w:after="0" w:line="276" w:lineRule="auto"/>
        <w:rPr>
          <w:rFonts w:cs="TimesNewRomanPS-BoldMT"/>
          <w:b/>
          <w:bCs/>
          <w:sz w:val="20"/>
          <w:szCs w:val="20"/>
          <w:lang w:val="en-GB"/>
        </w:rPr>
      </w:pPr>
    </w:p>
    <w:p w14:paraId="40DCF5B8" w14:textId="59904508" w:rsidR="005C3F1F" w:rsidRPr="0098280F" w:rsidRDefault="00E53E83" w:rsidP="005C3F1F">
      <w:pPr>
        <w:autoSpaceDE w:val="0"/>
        <w:autoSpaceDN w:val="0"/>
        <w:adjustRightInd w:val="0"/>
        <w:spacing w:after="0" w:line="241" w:lineRule="atLeast"/>
        <w:jc w:val="center"/>
        <w:rPr>
          <w:rFonts w:ascii="Arial" w:hAnsi="Arial" w:cs="Arial"/>
          <w:b/>
          <w:bCs/>
          <w:color w:val="221E1F"/>
          <w:sz w:val="20"/>
          <w:szCs w:val="20"/>
          <w:lang w:val="en-GB"/>
        </w:rPr>
      </w:pPr>
      <w:r w:rsidRPr="0098280F">
        <w:rPr>
          <w:rFonts w:ascii="Arial" w:hAnsi="Arial"/>
          <w:b/>
          <w:bCs/>
          <w:color w:val="221E1F"/>
          <w:sz w:val="20"/>
          <w:szCs w:val="20"/>
          <w:lang w:val="en-GB"/>
        </w:rPr>
        <w:t>CETAFOR</w:t>
      </w:r>
      <w:r w:rsidR="00A83667" w:rsidRPr="0098280F">
        <w:rPr>
          <w:b/>
          <w:bCs/>
          <w:sz w:val="20"/>
          <w:szCs w:val="20"/>
          <w:vertAlign w:val="superscript"/>
          <w:lang w:val="en-GB"/>
        </w:rPr>
        <w:t>®</w:t>
      </w:r>
      <w:r w:rsidRPr="0098280F">
        <w:rPr>
          <w:b/>
          <w:bCs/>
          <w:sz w:val="20"/>
          <w:szCs w:val="20"/>
          <w:lang w:val="en-GB"/>
        </w:rPr>
        <w:t xml:space="preserve"> </w:t>
      </w:r>
      <w:r w:rsidR="00326F6D" w:rsidRPr="0098280F">
        <w:rPr>
          <w:rFonts w:ascii="Arial" w:hAnsi="Arial"/>
          <w:b/>
          <w:bCs/>
          <w:color w:val="221E1F"/>
          <w:sz w:val="20"/>
          <w:szCs w:val="20"/>
          <w:lang w:val="en-GB"/>
        </w:rPr>
        <w:t>2</w:t>
      </w:r>
      <w:r w:rsidRPr="0098280F">
        <w:rPr>
          <w:rFonts w:ascii="Arial" w:hAnsi="Arial"/>
          <w:b/>
          <w:bCs/>
          <w:color w:val="221E1F"/>
          <w:sz w:val="20"/>
          <w:szCs w:val="20"/>
          <w:lang w:val="en-GB"/>
        </w:rPr>
        <w:t>000</w:t>
      </w:r>
      <w:r w:rsidR="00B46F1B">
        <w:rPr>
          <w:rFonts w:ascii="Arial" w:hAnsi="Arial"/>
          <w:b/>
          <w:bCs/>
          <w:color w:val="221E1F"/>
          <w:sz w:val="20"/>
          <w:szCs w:val="20"/>
          <w:lang w:val="en-GB"/>
        </w:rPr>
        <w:t xml:space="preserve"> IV</w:t>
      </w:r>
    </w:p>
    <w:p w14:paraId="77CB74CC" w14:textId="7C8BF959" w:rsidR="00133DBE" w:rsidRPr="0098280F" w:rsidRDefault="004F1A02" w:rsidP="005C3F1F">
      <w:pPr>
        <w:autoSpaceDE w:val="0"/>
        <w:autoSpaceDN w:val="0"/>
        <w:adjustRightInd w:val="0"/>
        <w:spacing w:after="0" w:line="241" w:lineRule="atLeast"/>
        <w:jc w:val="center"/>
        <w:rPr>
          <w:rFonts w:ascii="Arial Narrow" w:hAnsi="Arial Narrow" w:cs="Arial Narrow"/>
          <w:color w:val="221E1F"/>
          <w:sz w:val="20"/>
          <w:szCs w:val="20"/>
          <w:lang w:val="en-GB"/>
        </w:rPr>
      </w:pPr>
      <w:r w:rsidRPr="0098280F">
        <w:rPr>
          <w:rFonts w:ascii="Arial Narrow" w:hAnsi="Arial Narrow" w:cs="Arial Narrow"/>
          <w:color w:val="221E1F"/>
          <w:sz w:val="20"/>
          <w:szCs w:val="20"/>
          <w:lang w:val="en-GB"/>
        </w:rPr>
        <w:t xml:space="preserve">Ceftriaxone </w:t>
      </w:r>
      <w:r w:rsidR="00326F6D" w:rsidRPr="0098280F">
        <w:rPr>
          <w:rFonts w:ascii="Arial Narrow" w:hAnsi="Arial Narrow" w:cs="Arial Narrow"/>
          <w:color w:val="221E1F"/>
          <w:sz w:val="20"/>
          <w:szCs w:val="20"/>
          <w:lang w:val="en-GB"/>
        </w:rPr>
        <w:t>2</w:t>
      </w:r>
      <w:r w:rsidRPr="0098280F">
        <w:rPr>
          <w:rFonts w:ascii="Arial Narrow" w:hAnsi="Arial Narrow" w:cs="Arial Narrow"/>
          <w:color w:val="221E1F"/>
          <w:sz w:val="20"/>
          <w:szCs w:val="20"/>
          <w:lang w:val="en-GB"/>
        </w:rPr>
        <w:t xml:space="preserve">000 mg, </w:t>
      </w:r>
      <w:r w:rsidR="00133DBE" w:rsidRPr="0098280F">
        <w:rPr>
          <w:rFonts w:ascii="Arial Narrow" w:hAnsi="Arial Narrow" w:cs="Arial Narrow"/>
          <w:color w:val="221E1F"/>
          <w:sz w:val="20"/>
          <w:szCs w:val="20"/>
          <w:lang w:val="en-GB"/>
        </w:rPr>
        <w:t xml:space="preserve">Powder for solution </w:t>
      </w:r>
      <w:r w:rsidRPr="0098280F">
        <w:rPr>
          <w:rFonts w:ascii="Arial Narrow" w:hAnsi="Arial Narrow" w:cs="Arial Narrow"/>
          <w:color w:val="221E1F"/>
          <w:sz w:val="20"/>
          <w:szCs w:val="20"/>
          <w:lang w:val="en-GB"/>
        </w:rPr>
        <w:t>for injection/</w:t>
      </w:r>
      <w:r w:rsidR="00133DBE" w:rsidRPr="0098280F">
        <w:rPr>
          <w:rFonts w:ascii="Arial Narrow" w:hAnsi="Arial Narrow" w:cs="Arial Narrow"/>
          <w:color w:val="221E1F"/>
          <w:sz w:val="20"/>
          <w:szCs w:val="20"/>
          <w:lang w:val="en-GB"/>
        </w:rPr>
        <w:t xml:space="preserve"> infusion</w:t>
      </w:r>
    </w:p>
    <w:p w14:paraId="534CB7F6" w14:textId="77777777" w:rsidR="005C3F1F" w:rsidRPr="0098280F" w:rsidRDefault="005C3F1F" w:rsidP="005C3F1F">
      <w:pPr>
        <w:autoSpaceDE w:val="0"/>
        <w:autoSpaceDN w:val="0"/>
        <w:adjustRightInd w:val="0"/>
        <w:spacing w:after="0" w:line="241" w:lineRule="atLeast"/>
        <w:jc w:val="center"/>
        <w:rPr>
          <w:rFonts w:ascii="Arial Narrow" w:hAnsi="Arial Narrow" w:cs="Arial Narrow"/>
          <w:color w:val="221E1F"/>
          <w:sz w:val="20"/>
          <w:szCs w:val="20"/>
          <w:lang w:val="en-GB"/>
        </w:rPr>
      </w:pPr>
    </w:p>
    <w:p w14:paraId="413A29F7" w14:textId="567CE61A" w:rsidR="00133DBE" w:rsidRPr="0098280F" w:rsidRDefault="00133DBE" w:rsidP="00133DBE">
      <w:pPr>
        <w:spacing w:after="0" w:line="276" w:lineRule="auto"/>
        <w:rPr>
          <w:b/>
          <w:sz w:val="20"/>
          <w:szCs w:val="20"/>
          <w:lang w:val="en-GB"/>
        </w:rPr>
      </w:pPr>
      <w:r w:rsidRPr="0098280F">
        <w:rPr>
          <w:b/>
          <w:bCs/>
          <w:sz w:val="20"/>
          <w:szCs w:val="20"/>
          <w:lang w:val="en-GB"/>
        </w:rPr>
        <w:t xml:space="preserve">Read all of this leaflet carefully before you start </w:t>
      </w:r>
      <w:r w:rsidR="004F1A02" w:rsidRPr="0098280F">
        <w:rPr>
          <w:b/>
          <w:bCs/>
          <w:sz w:val="20"/>
          <w:szCs w:val="20"/>
          <w:lang w:val="en-GB"/>
        </w:rPr>
        <w:t>using</w:t>
      </w:r>
      <w:r w:rsidRPr="0098280F">
        <w:rPr>
          <w:b/>
          <w:bCs/>
          <w:sz w:val="20"/>
          <w:szCs w:val="20"/>
          <w:lang w:val="en-GB"/>
        </w:rPr>
        <w:t xml:space="preserve"> this medicine because it contains important information for you. If you have any further questions or if you get any side effects not listed in this leaflet, talk to your doctor, pharmacist or healthcare professional. Do not pass this medicine on to others.</w:t>
      </w:r>
    </w:p>
    <w:p w14:paraId="066E2869" w14:textId="418E8827" w:rsidR="00133DBE" w:rsidRPr="0098280F" w:rsidRDefault="004F1A02" w:rsidP="00133DBE">
      <w:pPr>
        <w:spacing w:after="0" w:line="276" w:lineRule="auto"/>
        <w:rPr>
          <w:b/>
          <w:sz w:val="20"/>
          <w:szCs w:val="20"/>
          <w:lang w:val="en-GB"/>
        </w:rPr>
      </w:pPr>
      <w:r w:rsidRPr="0098280F">
        <w:rPr>
          <w:b/>
          <w:bCs/>
          <w:sz w:val="20"/>
          <w:szCs w:val="20"/>
          <w:lang w:val="en-GB"/>
        </w:rPr>
        <w:t>1</w:t>
      </w:r>
      <w:r w:rsidR="00133DBE" w:rsidRPr="0098280F">
        <w:rPr>
          <w:b/>
          <w:bCs/>
          <w:sz w:val="20"/>
          <w:szCs w:val="20"/>
          <w:lang w:val="en-GB"/>
        </w:rPr>
        <w:t xml:space="preserve">. What </w:t>
      </w:r>
      <w:proofErr w:type="spellStart"/>
      <w:r w:rsidR="00133DBE" w:rsidRPr="0098280F">
        <w:rPr>
          <w:b/>
          <w:bCs/>
          <w:sz w:val="20"/>
          <w:szCs w:val="20"/>
          <w:lang w:val="en-GB"/>
        </w:rPr>
        <w:t>Cetafor</w:t>
      </w:r>
      <w:proofErr w:type="spellEnd"/>
      <w:r w:rsidR="00A83667" w:rsidRPr="0098280F">
        <w:rPr>
          <w:b/>
          <w:bCs/>
          <w:sz w:val="20"/>
          <w:szCs w:val="20"/>
          <w:vertAlign w:val="superscript"/>
          <w:lang w:val="en-GB"/>
        </w:rPr>
        <w:t>®</w:t>
      </w:r>
      <w:r w:rsidR="00326F6D" w:rsidRPr="0098280F">
        <w:rPr>
          <w:b/>
          <w:bCs/>
          <w:sz w:val="20"/>
          <w:szCs w:val="20"/>
          <w:lang w:val="en-GB"/>
        </w:rPr>
        <w:t xml:space="preserve"> </w:t>
      </w:r>
      <w:r w:rsidR="00B46F1B">
        <w:rPr>
          <w:b/>
          <w:bCs/>
          <w:sz w:val="20"/>
          <w:szCs w:val="20"/>
          <w:lang w:val="en-GB"/>
        </w:rPr>
        <w:t xml:space="preserve">2000 </w:t>
      </w:r>
      <w:proofErr w:type="gramStart"/>
      <w:r w:rsidR="00B46F1B">
        <w:rPr>
          <w:b/>
          <w:bCs/>
          <w:sz w:val="20"/>
          <w:szCs w:val="20"/>
          <w:lang w:val="en-GB"/>
        </w:rPr>
        <w:t xml:space="preserve">IV </w:t>
      </w:r>
      <w:r w:rsidR="00133DBE" w:rsidRPr="0098280F">
        <w:rPr>
          <w:b/>
          <w:bCs/>
          <w:sz w:val="20"/>
          <w:szCs w:val="20"/>
          <w:lang w:val="en-GB"/>
        </w:rPr>
        <w:t xml:space="preserve"> is</w:t>
      </w:r>
      <w:proofErr w:type="gramEnd"/>
      <w:r w:rsidR="00133DBE" w:rsidRPr="0098280F">
        <w:rPr>
          <w:b/>
          <w:bCs/>
          <w:sz w:val="20"/>
          <w:szCs w:val="20"/>
          <w:lang w:val="en-GB"/>
        </w:rPr>
        <w:t xml:space="preserve"> and </w:t>
      </w:r>
      <w:r w:rsidRPr="0098280F">
        <w:rPr>
          <w:b/>
          <w:bCs/>
          <w:sz w:val="20"/>
          <w:szCs w:val="20"/>
          <w:lang w:val="en-GB"/>
        </w:rPr>
        <w:t>what i</w:t>
      </w:r>
      <w:r w:rsidR="00185CEE" w:rsidRPr="0098280F">
        <w:rPr>
          <w:b/>
          <w:bCs/>
          <w:sz w:val="20"/>
          <w:szCs w:val="20"/>
          <w:lang w:val="en-GB"/>
        </w:rPr>
        <w:t>t</w:t>
      </w:r>
      <w:r w:rsidRPr="0098280F">
        <w:rPr>
          <w:b/>
          <w:bCs/>
          <w:sz w:val="20"/>
          <w:szCs w:val="20"/>
          <w:lang w:val="en-GB"/>
        </w:rPr>
        <w:t xml:space="preserve"> i</w:t>
      </w:r>
      <w:r w:rsidR="00185CEE" w:rsidRPr="0098280F">
        <w:rPr>
          <w:b/>
          <w:bCs/>
          <w:sz w:val="20"/>
          <w:szCs w:val="20"/>
          <w:lang w:val="en-GB"/>
        </w:rPr>
        <w:t>s</w:t>
      </w:r>
      <w:r w:rsidRPr="0098280F">
        <w:rPr>
          <w:b/>
          <w:bCs/>
          <w:sz w:val="20"/>
          <w:szCs w:val="20"/>
          <w:lang w:val="en-GB"/>
        </w:rPr>
        <w:t xml:space="preserve"> </w:t>
      </w:r>
      <w:r w:rsidR="00133DBE" w:rsidRPr="0098280F">
        <w:rPr>
          <w:b/>
          <w:bCs/>
          <w:sz w:val="20"/>
          <w:szCs w:val="20"/>
          <w:lang w:val="en-GB"/>
        </w:rPr>
        <w:t xml:space="preserve">used for </w:t>
      </w:r>
    </w:p>
    <w:p w14:paraId="4B10F440" w14:textId="659C4C88" w:rsidR="00133DBE" w:rsidRPr="0098280F" w:rsidRDefault="00E53E83" w:rsidP="00133DBE">
      <w:pPr>
        <w:autoSpaceDE w:val="0"/>
        <w:autoSpaceDN w:val="0"/>
        <w:adjustRightInd w:val="0"/>
        <w:spacing w:after="0" w:line="276" w:lineRule="auto"/>
        <w:rPr>
          <w:rFonts w:eastAsia="TimesNewRomanPSMT" w:cs="TimesNewRomanPSMT"/>
          <w:sz w:val="20"/>
          <w:szCs w:val="20"/>
          <w:lang w:val="en-GB"/>
        </w:rPr>
      </w:pPr>
      <w:proofErr w:type="spellStart"/>
      <w:r w:rsidRPr="0098280F">
        <w:rPr>
          <w:rFonts w:eastAsia="TimesNewRomanPSMT"/>
          <w:sz w:val="20"/>
          <w:szCs w:val="20"/>
          <w:lang w:val="en-GB"/>
        </w:rPr>
        <w:t>Cetafor</w:t>
      </w:r>
      <w:proofErr w:type="spellEnd"/>
      <w:r w:rsidR="00A83667" w:rsidRPr="0098280F">
        <w:rPr>
          <w:rFonts w:eastAsia="TimesNewRomanPSMT"/>
          <w:sz w:val="20"/>
          <w:szCs w:val="20"/>
          <w:vertAlign w:val="superscript"/>
          <w:lang w:val="en-GB"/>
        </w:rPr>
        <w:t>®</w:t>
      </w:r>
      <w:r w:rsidR="004F1A02" w:rsidRPr="0098280F">
        <w:rPr>
          <w:rFonts w:eastAsia="TimesNewRomanPSMT"/>
          <w:sz w:val="20"/>
          <w:szCs w:val="20"/>
          <w:lang w:val="en-GB"/>
        </w:rPr>
        <w:t xml:space="preserve"> </w:t>
      </w:r>
      <w:r w:rsidRPr="0098280F">
        <w:rPr>
          <w:rFonts w:eastAsia="TimesNewRomanPSMT"/>
          <w:sz w:val="20"/>
          <w:szCs w:val="20"/>
          <w:lang w:val="en-GB"/>
        </w:rPr>
        <w:t xml:space="preserve">is an antibiotic used in adults and children (including </w:t>
      </w:r>
      <w:r w:rsidR="00A12DBC" w:rsidRPr="0098280F">
        <w:rPr>
          <w:rFonts w:eastAsia="TimesNewRomanPSMT"/>
          <w:sz w:val="20"/>
          <w:szCs w:val="20"/>
          <w:lang w:val="en-GB"/>
        </w:rPr>
        <w:t>new-borns</w:t>
      </w:r>
      <w:r w:rsidRPr="0098280F">
        <w:rPr>
          <w:rFonts w:eastAsia="TimesNewRomanPSMT"/>
          <w:sz w:val="20"/>
          <w:szCs w:val="20"/>
          <w:lang w:val="en-GB"/>
        </w:rPr>
        <w:t xml:space="preserve">). It works by killing the bacteria that cause infections. It belongs to the class of </w:t>
      </w:r>
      <w:r w:rsidRPr="0098280F">
        <w:rPr>
          <w:rFonts w:ascii="Cambria Math" w:eastAsia="TimesNewRomanPSMT" w:hAnsi="Cambria Math"/>
          <w:sz w:val="20"/>
          <w:szCs w:val="20"/>
          <w:lang w:val="en-GB"/>
        </w:rPr>
        <w:t>“</w:t>
      </w:r>
      <w:r w:rsidRPr="0098280F">
        <w:rPr>
          <w:rFonts w:eastAsia="TimesNewRomanPSMT"/>
          <w:sz w:val="20"/>
          <w:szCs w:val="20"/>
          <w:lang w:val="en-GB"/>
        </w:rPr>
        <w:t>cephalosporins</w:t>
      </w:r>
      <w:r w:rsidRPr="0098280F">
        <w:rPr>
          <w:rFonts w:ascii="Cambria Math" w:eastAsia="TimesNewRomanPSMT" w:hAnsi="Cambria Math"/>
          <w:sz w:val="20"/>
          <w:szCs w:val="20"/>
          <w:lang w:val="en-GB"/>
        </w:rPr>
        <w:t>”</w:t>
      </w:r>
      <w:r w:rsidRPr="0098280F">
        <w:rPr>
          <w:rFonts w:eastAsia="TimesNewRomanPSMT"/>
          <w:sz w:val="20"/>
          <w:szCs w:val="20"/>
          <w:lang w:val="en-GB"/>
        </w:rPr>
        <w:t>. Cetafor</w:t>
      </w:r>
      <w:r w:rsidR="00A83667" w:rsidRPr="0098280F">
        <w:rPr>
          <w:rFonts w:eastAsia="TimesNewRomanPSMT"/>
          <w:sz w:val="20"/>
          <w:szCs w:val="20"/>
          <w:vertAlign w:val="superscript"/>
          <w:lang w:val="en-GB"/>
        </w:rPr>
        <w:t>®</w:t>
      </w:r>
      <w:r w:rsidR="00B46F1B">
        <w:rPr>
          <w:rFonts w:eastAsia="TimesNewRomanPSMT"/>
          <w:sz w:val="20"/>
          <w:szCs w:val="20"/>
          <w:lang w:val="en-GB"/>
        </w:rPr>
        <w:t>2000 IV</w:t>
      </w:r>
      <w:r w:rsidRPr="0098280F">
        <w:rPr>
          <w:rFonts w:eastAsia="TimesNewRomanPSMT"/>
          <w:sz w:val="20"/>
          <w:szCs w:val="20"/>
          <w:lang w:val="en-GB"/>
        </w:rPr>
        <w:t xml:space="preserve"> is used to treat infections of: • the brain (meningitis)</w:t>
      </w:r>
      <w:r w:rsidR="002D47D2" w:rsidRPr="0098280F">
        <w:rPr>
          <w:rFonts w:eastAsia="TimesNewRomanPSMT"/>
          <w:sz w:val="20"/>
          <w:szCs w:val="20"/>
          <w:lang w:val="en-GB"/>
        </w:rPr>
        <w:t xml:space="preserve"> </w:t>
      </w:r>
      <w:r w:rsidRPr="0098280F">
        <w:rPr>
          <w:rFonts w:eastAsia="TimesNewRomanPSMT"/>
          <w:sz w:val="20"/>
          <w:szCs w:val="20"/>
          <w:lang w:val="en-GB"/>
        </w:rPr>
        <w:t>• the lungs</w:t>
      </w:r>
      <w:r w:rsidR="002D47D2" w:rsidRPr="0098280F">
        <w:rPr>
          <w:rFonts w:eastAsia="TimesNewRomanPSMT"/>
          <w:sz w:val="20"/>
          <w:szCs w:val="20"/>
          <w:lang w:val="en-GB"/>
        </w:rPr>
        <w:t xml:space="preserve"> </w:t>
      </w:r>
      <w:r w:rsidRPr="0098280F">
        <w:rPr>
          <w:rFonts w:eastAsia="TimesNewRomanPSMT"/>
          <w:sz w:val="20"/>
          <w:szCs w:val="20"/>
          <w:lang w:val="en-GB"/>
        </w:rPr>
        <w:t>• the middle ear</w:t>
      </w:r>
      <w:r w:rsidR="002D47D2" w:rsidRPr="0098280F">
        <w:rPr>
          <w:rFonts w:eastAsia="TimesNewRomanPSMT"/>
          <w:sz w:val="20"/>
          <w:szCs w:val="20"/>
          <w:lang w:val="en-GB"/>
        </w:rPr>
        <w:t xml:space="preserve"> </w:t>
      </w:r>
      <w:r w:rsidRPr="0098280F">
        <w:rPr>
          <w:rFonts w:eastAsia="TimesNewRomanPSMT"/>
          <w:sz w:val="20"/>
          <w:szCs w:val="20"/>
          <w:lang w:val="en-GB"/>
        </w:rPr>
        <w:t>• the abdomen and abdominal wall (peritonitis)</w:t>
      </w:r>
      <w:r w:rsidR="002D47D2" w:rsidRPr="0098280F">
        <w:rPr>
          <w:rFonts w:eastAsia="TimesNewRomanPSMT"/>
          <w:sz w:val="20"/>
          <w:szCs w:val="20"/>
          <w:lang w:val="en-GB"/>
        </w:rPr>
        <w:t xml:space="preserve"> </w:t>
      </w:r>
      <w:r w:rsidRPr="0098280F">
        <w:rPr>
          <w:rFonts w:eastAsia="TimesNewRomanPSMT"/>
          <w:sz w:val="20"/>
          <w:szCs w:val="20"/>
          <w:lang w:val="en-GB"/>
        </w:rPr>
        <w:t>• the urinary tract and kidneys</w:t>
      </w:r>
      <w:r w:rsidR="002D47D2" w:rsidRPr="0098280F">
        <w:rPr>
          <w:rFonts w:eastAsia="TimesNewRomanPSMT"/>
          <w:sz w:val="20"/>
          <w:szCs w:val="20"/>
          <w:lang w:val="en-GB"/>
        </w:rPr>
        <w:t xml:space="preserve"> </w:t>
      </w:r>
      <w:r w:rsidRPr="0098280F">
        <w:rPr>
          <w:rFonts w:eastAsia="TimesNewRomanPSMT"/>
          <w:sz w:val="20"/>
          <w:szCs w:val="20"/>
          <w:lang w:val="en-GB"/>
        </w:rPr>
        <w:t>• the bones and joints</w:t>
      </w:r>
      <w:r w:rsidR="002D47D2" w:rsidRPr="0098280F">
        <w:rPr>
          <w:rFonts w:eastAsia="TimesNewRomanPSMT"/>
          <w:sz w:val="20"/>
          <w:szCs w:val="20"/>
          <w:lang w:val="en-GB"/>
        </w:rPr>
        <w:t xml:space="preserve"> </w:t>
      </w:r>
      <w:r w:rsidRPr="0098280F">
        <w:rPr>
          <w:rFonts w:eastAsia="TimesNewRomanPSMT"/>
          <w:sz w:val="20"/>
          <w:szCs w:val="20"/>
          <w:lang w:val="en-GB"/>
        </w:rPr>
        <w:t>• the skin or soft tissues</w:t>
      </w:r>
      <w:r w:rsidR="002D47D2" w:rsidRPr="0098280F">
        <w:rPr>
          <w:rFonts w:eastAsia="TimesNewRomanPSMT"/>
          <w:sz w:val="20"/>
          <w:szCs w:val="20"/>
          <w:lang w:val="en-GB"/>
        </w:rPr>
        <w:t xml:space="preserve"> </w:t>
      </w:r>
      <w:r w:rsidRPr="0098280F">
        <w:rPr>
          <w:rFonts w:eastAsia="TimesNewRomanPSMT"/>
          <w:sz w:val="20"/>
          <w:szCs w:val="20"/>
          <w:lang w:val="en-GB"/>
        </w:rPr>
        <w:t>• the blood</w:t>
      </w:r>
      <w:r w:rsidR="002D47D2" w:rsidRPr="0098280F">
        <w:rPr>
          <w:rFonts w:eastAsia="TimesNewRomanPSMT"/>
          <w:sz w:val="20"/>
          <w:szCs w:val="20"/>
          <w:lang w:val="en-GB"/>
        </w:rPr>
        <w:t xml:space="preserve"> </w:t>
      </w:r>
      <w:r w:rsidRPr="0098280F">
        <w:rPr>
          <w:rFonts w:eastAsia="TimesNewRomanPSMT"/>
          <w:sz w:val="20"/>
          <w:szCs w:val="20"/>
          <w:lang w:val="en-GB"/>
        </w:rPr>
        <w:t xml:space="preserve">• the heart. It may also be prescribed for: • treating specific sexually transmitted infections (gonorrhoea and syphilis) • treating patients who have a low white </w:t>
      </w:r>
      <w:r w:rsidR="005703DC" w:rsidRPr="0098280F">
        <w:rPr>
          <w:rFonts w:eastAsia="TimesNewRomanPSMT"/>
          <w:sz w:val="20"/>
          <w:szCs w:val="20"/>
          <w:lang w:val="en-GB"/>
        </w:rPr>
        <w:t xml:space="preserve">blood </w:t>
      </w:r>
      <w:r w:rsidRPr="0098280F">
        <w:rPr>
          <w:rFonts w:eastAsia="TimesNewRomanPSMT"/>
          <w:sz w:val="20"/>
          <w:szCs w:val="20"/>
          <w:lang w:val="en-GB"/>
        </w:rPr>
        <w:t xml:space="preserve">cell count (neutropoenia) and fever due to a bacterial infection • treating chest infections in adults with chronic bronchitis. • treating Lyme disease (transmitted by tick bites) in adults and children, including </w:t>
      </w:r>
      <w:r w:rsidR="00334003" w:rsidRPr="0098280F">
        <w:rPr>
          <w:rFonts w:eastAsia="TimesNewRomanPSMT"/>
          <w:sz w:val="20"/>
          <w:szCs w:val="20"/>
          <w:lang w:val="en-GB"/>
        </w:rPr>
        <w:t>new-borns</w:t>
      </w:r>
      <w:r w:rsidRPr="0098280F">
        <w:rPr>
          <w:rFonts w:eastAsia="TimesNewRomanPSMT"/>
          <w:sz w:val="20"/>
          <w:szCs w:val="20"/>
          <w:lang w:val="en-GB"/>
        </w:rPr>
        <w:t>, from 15 days of age • prevent infections during surgery.</w:t>
      </w:r>
    </w:p>
    <w:p w14:paraId="64770640" w14:textId="48B50FE8" w:rsidR="00133DBE" w:rsidRPr="0098280F" w:rsidRDefault="000052D2" w:rsidP="00133DBE">
      <w:pPr>
        <w:autoSpaceDE w:val="0"/>
        <w:autoSpaceDN w:val="0"/>
        <w:adjustRightInd w:val="0"/>
        <w:spacing w:after="0" w:line="276" w:lineRule="auto"/>
        <w:rPr>
          <w:rFonts w:eastAsia="TimesNewRomanPSMT" w:cs="TimesNewRomanPS-BoldMT"/>
          <w:b/>
          <w:bCs/>
          <w:sz w:val="20"/>
          <w:szCs w:val="20"/>
          <w:lang w:val="en-GB"/>
        </w:rPr>
      </w:pPr>
      <w:r w:rsidRPr="0098280F">
        <w:rPr>
          <w:rFonts w:eastAsia="TimesNewRomanPSMT" w:cs="TimesNewRomanPS-BoldMT"/>
          <w:b/>
          <w:bCs/>
          <w:sz w:val="20"/>
          <w:szCs w:val="20"/>
          <w:lang w:val="en-GB"/>
        </w:rPr>
        <w:t>2</w:t>
      </w:r>
      <w:r w:rsidR="00133DBE" w:rsidRPr="0098280F">
        <w:rPr>
          <w:rFonts w:eastAsia="TimesNewRomanPSMT" w:cs="TimesNewRomanPS-BoldMT"/>
          <w:b/>
          <w:bCs/>
          <w:sz w:val="20"/>
          <w:szCs w:val="20"/>
          <w:lang w:val="en-GB"/>
        </w:rPr>
        <w:t>. What you need to know before you use Cetafor</w:t>
      </w:r>
      <w:r w:rsidR="00A83667" w:rsidRPr="0098280F">
        <w:rPr>
          <w:rFonts w:eastAsia="TimesNewRomanPSMT" w:cs="TimesNewRomanPS-BoldMT"/>
          <w:b/>
          <w:bCs/>
          <w:sz w:val="20"/>
          <w:szCs w:val="20"/>
          <w:vertAlign w:val="superscript"/>
          <w:lang w:val="en-GB"/>
        </w:rPr>
        <w:t>®</w:t>
      </w:r>
      <w:r w:rsidR="00B46F1B">
        <w:rPr>
          <w:rFonts w:eastAsia="TimesNewRomanPSMT" w:cs="TimesNewRomanPS-BoldMT"/>
          <w:b/>
          <w:bCs/>
          <w:sz w:val="20"/>
          <w:szCs w:val="20"/>
          <w:lang w:val="en-GB"/>
        </w:rPr>
        <w:t>2000 IV</w:t>
      </w:r>
      <w:r w:rsidR="00133DBE" w:rsidRPr="0098280F">
        <w:rPr>
          <w:rFonts w:eastAsia="TimesNewRomanPSMT" w:cs="TimesNewRomanPS-BoldMT"/>
          <w:b/>
          <w:bCs/>
          <w:sz w:val="20"/>
          <w:szCs w:val="20"/>
          <w:lang w:val="en-GB"/>
        </w:rPr>
        <w:t xml:space="preserve"> </w:t>
      </w:r>
    </w:p>
    <w:p w14:paraId="4537BEA2" w14:textId="20F810C8" w:rsidR="00133DBE" w:rsidRPr="0098280F" w:rsidRDefault="00133DBE" w:rsidP="00133DBE">
      <w:pPr>
        <w:autoSpaceDE w:val="0"/>
        <w:autoSpaceDN w:val="0"/>
        <w:adjustRightInd w:val="0"/>
        <w:spacing w:after="0" w:line="276" w:lineRule="auto"/>
        <w:rPr>
          <w:rFonts w:eastAsia="TimesNewRomanPSMT" w:cs="TimesNewRomanPSMT"/>
          <w:sz w:val="20"/>
          <w:szCs w:val="20"/>
          <w:lang w:val="en-GB"/>
        </w:rPr>
      </w:pPr>
      <w:r w:rsidRPr="0098280F">
        <w:rPr>
          <w:rFonts w:eastAsia="TimesNewRomanPSMT"/>
          <w:b/>
          <w:bCs/>
          <w:sz w:val="20"/>
          <w:szCs w:val="20"/>
          <w:lang w:val="en-GB"/>
        </w:rPr>
        <w:t xml:space="preserve">You must not receive </w:t>
      </w:r>
      <w:proofErr w:type="spellStart"/>
      <w:r w:rsidRPr="0098280F">
        <w:rPr>
          <w:rFonts w:eastAsia="TimesNewRomanPSMT"/>
          <w:b/>
          <w:bCs/>
          <w:sz w:val="20"/>
          <w:szCs w:val="20"/>
          <w:lang w:val="en-GB"/>
        </w:rPr>
        <w:t>Cetafor</w:t>
      </w:r>
      <w:proofErr w:type="spellEnd"/>
      <w:r w:rsidR="00A83667" w:rsidRPr="0098280F">
        <w:rPr>
          <w:rFonts w:eastAsia="TimesNewRomanPSMT"/>
          <w:b/>
          <w:bCs/>
          <w:sz w:val="20"/>
          <w:szCs w:val="20"/>
          <w:vertAlign w:val="superscript"/>
          <w:lang w:val="en-GB"/>
        </w:rPr>
        <w:t>®</w:t>
      </w:r>
      <w:r w:rsidR="006A3615" w:rsidRPr="0098280F">
        <w:rPr>
          <w:rFonts w:eastAsia="TimesNewRomanPSMT"/>
          <w:b/>
          <w:bCs/>
          <w:sz w:val="20"/>
          <w:szCs w:val="20"/>
          <w:lang w:val="en-GB"/>
        </w:rPr>
        <w:t xml:space="preserve"> </w:t>
      </w:r>
      <w:r w:rsidRPr="0098280F">
        <w:rPr>
          <w:rFonts w:eastAsia="TimesNewRomanPSMT"/>
          <w:b/>
          <w:bCs/>
          <w:sz w:val="20"/>
          <w:szCs w:val="20"/>
          <w:lang w:val="en-GB"/>
        </w:rPr>
        <w:t xml:space="preserve">if: </w:t>
      </w:r>
      <w:r w:rsidRPr="0098280F">
        <w:rPr>
          <w:rFonts w:eastAsia="TimesNewRomanPSMT"/>
          <w:sz w:val="20"/>
          <w:szCs w:val="20"/>
          <w:lang w:val="en-GB"/>
        </w:rPr>
        <w:t xml:space="preserve">• </w:t>
      </w:r>
      <w:proofErr w:type="gramStart"/>
      <w:r w:rsidRPr="0098280F">
        <w:rPr>
          <w:rFonts w:eastAsia="TimesNewRomanPSMT"/>
          <w:sz w:val="20"/>
          <w:szCs w:val="20"/>
          <w:lang w:val="en-GB"/>
        </w:rPr>
        <w:t>You</w:t>
      </w:r>
      <w:proofErr w:type="gramEnd"/>
      <w:r w:rsidRPr="0098280F">
        <w:rPr>
          <w:rFonts w:eastAsia="TimesNewRomanPSMT"/>
          <w:sz w:val="20"/>
          <w:szCs w:val="20"/>
          <w:lang w:val="en-GB"/>
        </w:rPr>
        <w:t xml:space="preserve"> are allergic to ceftriaxone • You have had a sudden or severe allergic reaction to penicillin or any other similar antibiotic (cephalosporins, carbapenems or monobactams).</w:t>
      </w:r>
    </w:p>
    <w:p w14:paraId="06993096" w14:textId="53B45FDC" w:rsidR="00133DBE" w:rsidRPr="0098280F" w:rsidRDefault="00133DBE" w:rsidP="00133DBE">
      <w:pPr>
        <w:autoSpaceDE w:val="0"/>
        <w:autoSpaceDN w:val="0"/>
        <w:adjustRightInd w:val="0"/>
        <w:spacing w:after="0" w:line="276" w:lineRule="auto"/>
        <w:rPr>
          <w:rFonts w:eastAsia="TimesNewRomanPSMT" w:cs="TimesNewRomanPSMT"/>
          <w:sz w:val="20"/>
          <w:szCs w:val="20"/>
          <w:lang w:val="en-GB"/>
        </w:rPr>
      </w:pPr>
      <w:r w:rsidRPr="0098280F">
        <w:rPr>
          <w:rFonts w:eastAsia="TimesNewRomanPSMT" w:cs="TimesNewRomanPSMT"/>
          <w:sz w:val="20"/>
          <w:szCs w:val="20"/>
          <w:lang w:val="en-GB"/>
        </w:rPr>
        <w:t>Signs of allergy include sudden swelling of the throat or face – likely to cause difficulty breathing or swallowing, sudden swelling of the hands, feet and ankles, as well as fast-developing, severe skin rash.</w:t>
      </w:r>
    </w:p>
    <w:p w14:paraId="4A428EC4" w14:textId="45DA1415" w:rsidR="00A12DBC" w:rsidRPr="0098280F" w:rsidRDefault="00E53E83" w:rsidP="00133DBE">
      <w:pPr>
        <w:autoSpaceDE w:val="0"/>
        <w:autoSpaceDN w:val="0"/>
        <w:adjustRightInd w:val="0"/>
        <w:spacing w:after="0" w:line="276" w:lineRule="auto"/>
        <w:rPr>
          <w:rFonts w:eastAsia="TimesNewRomanPSMT"/>
          <w:sz w:val="20"/>
          <w:szCs w:val="20"/>
          <w:lang w:val="en-GB"/>
        </w:rPr>
      </w:pPr>
      <w:proofErr w:type="spellStart"/>
      <w:r w:rsidRPr="0098280F">
        <w:rPr>
          <w:rFonts w:eastAsia="TimesNewRomanPSMT"/>
          <w:b/>
          <w:bCs/>
          <w:sz w:val="20"/>
          <w:szCs w:val="20"/>
          <w:lang w:val="en-GB"/>
        </w:rPr>
        <w:t>Cetafor</w:t>
      </w:r>
      <w:proofErr w:type="spellEnd"/>
      <w:r w:rsidR="00A83667" w:rsidRPr="0098280F">
        <w:rPr>
          <w:rFonts w:eastAsia="TimesNewRomanPSMT"/>
          <w:b/>
          <w:bCs/>
          <w:sz w:val="20"/>
          <w:szCs w:val="20"/>
          <w:vertAlign w:val="superscript"/>
          <w:lang w:val="en-GB"/>
        </w:rPr>
        <w:t>®</w:t>
      </w:r>
      <w:r w:rsidR="006A3615" w:rsidRPr="0098280F">
        <w:rPr>
          <w:rFonts w:eastAsia="TimesNewRomanPSMT"/>
          <w:b/>
          <w:bCs/>
          <w:sz w:val="20"/>
          <w:szCs w:val="20"/>
          <w:lang w:val="en-GB"/>
        </w:rPr>
        <w:t xml:space="preserve"> </w:t>
      </w:r>
      <w:r w:rsidRPr="0098280F">
        <w:rPr>
          <w:rFonts w:eastAsia="TimesNewRomanPSMT"/>
          <w:b/>
          <w:bCs/>
          <w:sz w:val="20"/>
          <w:szCs w:val="20"/>
          <w:lang w:val="en-GB"/>
        </w:rPr>
        <w:t xml:space="preserve">must not be given to babies if: </w:t>
      </w:r>
      <w:r w:rsidRPr="0098280F">
        <w:rPr>
          <w:rFonts w:eastAsia="TimesNewRomanPSMT"/>
          <w:sz w:val="20"/>
          <w:szCs w:val="20"/>
          <w:lang w:val="en-GB"/>
        </w:rPr>
        <w:t>• the baby is premature</w:t>
      </w:r>
      <w:r w:rsidR="00A63A62" w:rsidRPr="0098280F">
        <w:rPr>
          <w:rFonts w:eastAsia="TimesNewRomanPSMT"/>
          <w:sz w:val="20"/>
          <w:szCs w:val="20"/>
          <w:lang w:val="en-GB"/>
        </w:rPr>
        <w:t xml:space="preserve"> </w:t>
      </w:r>
      <w:r w:rsidRPr="0098280F">
        <w:rPr>
          <w:rFonts w:eastAsia="TimesNewRomanPSMT"/>
          <w:sz w:val="20"/>
          <w:szCs w:val="20"/>
          <w:lang w:val="en-GB"/>
        </w:rPr>
        <w:t xml:space="preserve">• is a </w:t>
      </w:r>
      <w:r w:rsidR="00A12DBC" w:rsidRPr="0098280F">
        <w:rPr>
          <w:rFonts w:eastAsia="TimesNewRomanPSMT"/>
          <w:sz w:val="20"/>
          <w:szCs w:val="20"/>
          <w:lang w:val="en-GB"/>
        </w:rPr>
        <w:t>new-born</w:t>
      </w:r>
      <w:r w:rsidRPr="0098280F">
        <w:rPr>
          <w:rFonts w:eastAsia="TimesNewRomanPSMT"/>
          <w:sz w:val="20"/>
          <w:szCs w:val="20"/>
          <w:lang w:val="en-GB"/>
        </w:rPr>
        <w:t xml:space="preserve"> (up to 28 days of age) and has specific blood problems or jaundice (yellowing of the skin or the whites of the eye)</w:t>
      </w:r>
    </w:p>
    <w:p w14:paraId="3DE994E7" w14:textId="4E99C414" w:rsidR="00133DBE" w:rsidRPr="0098280F" w:rsidRDefault="00A12DBC" w:rsidP="00133DBE">
      <w:pPr>
        <w:autoSpaceDE w:val="0"/>
        <w:autoSpaceDN w:val="0"/>
        <w:adjustRightInd w:val="0"/>
        <w:spacing w:after="0" w:line="276" w:lineRule="auto"/>
        <w:rPr>
          <w:rFonts w:eastAsia="TimesNewRomanPSMT" w:cs="TimesNewRomanPSMT"/>
          <w:sz w:val="20"/>
          <w:szCs w:val="20"/>
          <w:lang w:val="en-GB"/>
        </w:rPr>
      </w:pPr>
      <w:proofErr w:type="spellStart"/>
      <w:r w:rsidRPr="0098280F">
        <w:rPr>
          <w:rFonts w:eastAsia="TimesNewRomanPSMT"/>
          <w:b/>
          <w:bCs/>
          <w:sz w:val="20"/>
          <w:szCs w:val="20"/>
          <w:lang w:val="en-GB"/>
        </w:rPr>
        <w:t>Cetafor</w:t>
      </w:r>
      <w:proofErr w:type="spellEnd"/>
      <w:r w:rsidRPr="0098280F">
        <w:rPr>
          <w:rFonts w:eastAsia="TimesNewRomanPSMT"/>
          <w:b/>
          <w:bCs/>
          <w:sz w:val="20"/>
          <w:szCs w:val="20"/>
          <w:vertAlign w:val="superscript"/>
          <w:lang w:val="en-GB"/>
        </w:rPr>
        <w:t>®</w:t>
      </w:r>
      <w:r w:rsidRPr="0098280F">
        <w:rPr>
          <w:rFonts w:eastAsia="TimesNewRomanPSMT"/>
          <w:b/>
          <w:bCs/>
          <w:sz w:val="20"/>
          <w:szCs w:val="20"/>
          <w:lang w:val="en-GB"/>
        </w:rPr>
        <w:t xml:space="preserve"> cannot be given </w:t>
      </w:r>
      <w:r w:rsidRPr="0098280F">
        <w:rPr>
          <w:rFonts w:eastAsia="TimesNewRomanPSMT"/>
          <w:sz w:val="20"/>
          <w:szCs w:val="20"/>
          <w:lang w:val="en-GB"/>
        </w:rPr>
        <w:t>when you are</w:t>
      </w:r>
      <w:r w:rsidR="00E53E83" w:rsidRPr="0098280F">
        <w:rPr>
          <w:rFonts w:eastAsia="TimesNewRomanPSMT"/>
          <w:sz w:val="20"/>
          <w:szCs w:val="20"/>
          <w:lang w:val="en-GB"/>
        </w:rPr>
        <w:t xml:space="preserve"> receiving a</w:t>
      </w:r>
      <w:r w:rsidRPr="0098280F">
        <w:rPr>
          <w:rFonts w:eastAsia="TimesNewRomanPSMT"/>
          <w:sz w:val="20"/>
          <w:szCs w:val="20"/>
          <w:lang w:val="en-GB"/>
        </w:rPr>
        <w:t>n</w:t>
      </w:r>
      <w:r w:rsidR="00E53E83" w:rsidRPr="0098280F">
        <w:rPr>
          <w:rFonts w:eastAsia="TimesNewRomanPSMT"/>
          <w:sz w:val="20"/>
          <w:szCs w:val="20"/>
          <w:lang w:val="en-GB"/>
        </w:rPr>
        <w:t xml:space="preserve"> </w:t>
      </w:r>
      <w:r w:rsidRPr="0098280F">
        <w:rPr>
          <w:rFonts w:eastAsia="TimesNewRomanPSMT"/>
          <w:sz w:val="20"/>
          <w:szCs w:val="20"/>
          <w:lang w:val="en-GB"/>
        </w:rPr>
        <w:t xml:space="preserve">intravenous </w:t>
      </w:r>
      <w:r w:rsidR="00E53E83" w:rsidRPr="0098280F">
        <w:rPr>
          <w:rFonts w:eastAsia="TimesNewRomanPSMT"/>
          <w:sz w:val="20"/>
          <w:szCs w:val="20"/>
          <w:lang w:val="en-GB"/>
        </w:rPr>
        <w:t>product containing calcium.</w:t>
      </w:r>
    </w:p>
    <w:p w14:paraId="4502346A" w14:textId="4873D721" w:rsidR="00133DBE" w:rsidRPr="0098280F" w:rsidRDefault="00133DBE" w:rsidP="00133DBE">
      <w:pPr>
        <w:autoSpaceDE w:val="0"/>
        <w:autoSpaceDN w:val="0"/>
        <w:adjustRightInd w:val="0"/>
        <w:spacing w:after="0" w:line="276" w:lineRule="auto"/>
        <w:rPr>
          <w:rFonts w:eastAsia="TimesNewRomanPSMT" w:cs="TimesNewRomanPSMT"/>
          <w:sz w:val="20"/>
          <w:szCs w:val="20"/>
          <w:lang w:val="en-GB"/>
        </w:rPr>
      </w:pPr>
      <w:r w:rsidRPr="0098280F">
        <w:rPr>
          <w:rFonts w:eastAsia="TimesNewRomanPSMT"/>
          <w:b/>
          <w:bCs/>
          <w:sz w:val="20"/>
          <w:szCs w:val="20"/>
          <w:lang w:val="en-GB"/>
        </w:rPr>
        <w:t xml:space="preserve">Warnings and precautions: </w:t>
      </w:r>
      <w:r w:rsidRPr="0098280F">
        <w:rPr>
          <w:rFonts w:eastAsia="TimesNewRomanPSMT"/>
          <w:sz w:val="20"/>
          <w:szCs w:val="20"/>
          <w:lang w:val="en-GB"/>
        </w:rPr>
        <w:t xml:space="preserve">Talk to your doctor, pharmacist or nurse before using </w:t>
      </w:r>
      <w:proofErr w:type="spellStart"/>
      <w:r w:rsidRPr="0098280F">
        <w:rPr>
          <w:rFonts w:eastAsia="TimesNewRomanPSMT"/>
          <w:sz w:val="20"/>
          <w:szCs w:val="20"/>
          <w:lang w:val="en-GB"/>
        </w:rPr>
        <w:t>Cetafor</w:t>
      </w:r>
      <w:proofErr w:type="spellEnd"/>
      <w:r w:rsidR="00A83667" w:rsidRPr="0098280F">
        <w:rPr>
          <w:rFonts w:eastAsia="TimesNewRomanPSMT"/>
          <w:sz w:val="20"/>
          <w:szCs w:val="20"/>
          <w:vertAlign w:val="superscript"/>
          <w:lang w:val="en-GB"/>
        </w:rPr>
        <w:t>®</w:t>
      </w:r>
      <w:r w:rsidR="006A3615" w:rsidRPr="0098280F">
        <w:rPr>
          <w:rFonts w:eastAsia="TimesNewRomanPSMT"/>
          <w:sz w:val="20"/>
          <w:szCs w:val="20"/>
          <w:lang w:val="en-GB"/>
        </w:rPr>
        <w:t xml:space="preserve"> </w:t>
      </w:r>
      <w:r w:rsidRPr="0098280F">
        <w:rPr>
          <w:rFonts w:eastAsia="TimesNewRomanPSMT"/>
          <w:sz w:val="20"/>
          <w:szCs w:val="20"/>
          <w:lang w:val="en-GB"/>
        </w:rPr>
        <w:t xml:space="preserve">if: • </w:t>
      </w:r>
      <w:r w:rsidR="006A3615" w:rsidRPr="0098280F">
        <w:rPr>
          <w:rFonts w:eastAsia="TimesNewRomanPSMT"/>
          <w:sz w:val="20"/>
          <w:szCs w:val="20"/>
          <w:lang w:val="en-GB"/>
        </w:rPr>
        <w:t>y</w:t>
      </w:r>
      <w:r w:rsidRPr="0098280F">
        <w:rPr>
          <w:rFonts w:eastAsia="TimesNewRomanPSMT"/>
          <w:sz w:val="20"/>
          <w:szCs w:val="20"/>
          <w:lang w:val="en-GB"/>
        </w:rPr>
        <w:t xml:space="preserve">ou have recently received – or are about to receive – a product that contains calcium. • </w:t>
      </w:r>
      <w:r w:rsidR="005322B7" w:rsidRPr="0098280F">
        <w:rPr>
          <w:rFonts w:eastAsia="TimesNewRomanPSMT"/>
          <w:sz w:val="20"/>
          <w:szCs w:val="20"/>
          <w:lang w:val="en-GB"/>
        </w:rPr>
        <w:t>y</w:t>
      </w:r>
      <w:r w:rsidRPr="0098280F">
        <w:rPr>
          <w:rFonts w:eastAsia="TimesNewRomanPSMT"/>
          <w:sz w:val="20"/>
          <w:szCs w:val="20"/>
          <w:lang w:val="en-GB"/>
        </w:rPr>
        <w:t xml:space="preserve">ou have recently had diarrhoea after taking antibiotics, or had any digestive tract disorders, in particular colitis (inflammation of the colon). • </w:t>
      </w:r>
      <w:proofErr w:type="gramStart"/>
      <w:r w:rsidR="006A3615" w:rsidRPr="0098280F">
        <w:rPr>
          <w:rFonts w:eastAsia="TimesNewRomanPSMT"/>
          <w:sz w:val="20"/>
          <w:szCs w:val="20"/>
          <w:lang w:val="en-GB"/>
        </w:rPr>
        <w:t>y</w:t>
      </w:r>
      <w:r w:rsidRPr="0098280F">
        <w:rPr>
          <w:rFonts w:eastAsia="TimesNewRomanPSMT"/>
          <w:sz w:val="20"/>
          <w:szCs w:val="20"/>
          <w:lang w:val="en-GB"/>
        </w:rPr>
        <w:t>ou</w:t>
      </w:r>
      <w:proofErr w:type="gramEnd"/>
      <w:r w:rsidRPr="0098280F">
        <w:rPr>
          <w:rFonts w:eastAsia="TimesNewRomanPSMT"/>
          <w:sz w:val="20"/>
          <w:szCs w:val="20"/>
          <w:lang w:val="en-GB"/>
        </w:rPr>
        <w:t xml:space="preserve"> have any liver or kidney problems. • </w:t>
      </w:r>
      <w:proofErr w:type="gramStart"/>
      <w:r w:rsidR="005322B7" w:rsidRPr="0098280F">
        <w:rPr>
          <w:rFonts w:eastAsia="TimesNewRomanPSMT"/>
          <w:sz w:val="20"/>
          <w:szCs w:val="20"/>
          <w:lang w:val="en-GB"/>
        </w:rPr>
        <w:t>y</w:t>
      </w:r>
      <w:r w:rsidRPr="0098280F">
        <w:rPr>
          <w:rFonts w:eastAsia="TimesNewRomanPSMT"/>
          <w:sz w:val="20"/>
          <w:szCs w:val="20"/>
          <w:lang w:val="en-GB"/>
        </w:rPr>
        <w:t>ou</w:t>
      </w:r>
      <w:proofErr w:type="gramEnd"/>
      <w:r w:rsidRPr="0098280F">
        <w:rPr>
          <w:rFonts w:eastAsia="TimesNewRomanPSMT"/>
          <w:sz w:val="20"/>
          <w:szCs w:val="20"/>
          <w:lang w:val="en-GB"/>
        </w:rPr>
        <w:t xml:space="preserve"> have gallstones or kidney stones. • </w:t>
      </w:r>
      <w:r w:rsidR="006A3615" w:rsidRPr="0098280F">
        <w:rPr>
          <w:rFonts w:eastAsia="TimesNewRomanPSMT"/>
          <w:sz w:val="20"/>
          <w:szCs w:val="20"/>
          <w:lang w:val="en-GB"/>
        </w:rPr>
        <w:t>y</w:t>
      </w:r>
      <w:r w:rsidRPr="0098280F">
        <w:rPr>
          <w:rFonts w:eastAsia="TimesNewRomanPSMT"/>
          <w:sz w:val="20"/>
          <w:szCs w:val="20"/>
          <w:lang w:val="en-GB"/>
        </w:rPr>
        <w:t xml:space="preserve">ou have any other disease, such as haemolytic anaemia (a lowering of the number of red blood cells, making the skin light yellow and causing a feeling of weakness or dyspnoea). • </w:t>
      </w:r>
      <w:proofErr w:type="gramStart"/>
      <w:r w:rsidR="005322B7" w:rsidRPr="0098280F">
        <w:rPr>
          <w:rFonts w:eastAsia="TimesNewRomanPSMT"/>
          <w:sz w:val="20"/>
          <w:szCs w:val="20"/>
          <w:lang w:val="en-GB"/>
        </w:rPr>
        <w:t>y</w:t>
      </w:r>
      <w:r w:rsidRPr="0098280F">
        <w:rPr>
          <w:rFonts w:eastAsia="TimesNewRomanPSMT"/>
          <w:sz w:val="20"/>
          <w:szCs w:val="20"/>
          <w:lang w:val="en-GB"/>
        </w:rPr>
        <w:t>ou</w:t>
      </w:r>
      <w:proofErr w:type="gramEnd"/>
      <w:r w:rsidRPr="0098280F">
        <w:rPr>
          <w:rFonts w:eastAsia="TimesNewRomanPSMT"/>
          <w:sz w:val="20"/>
          <w:szCs w:val="20"/>
          <w:lang w:val="en-GB"/>
        </w:rPr>
        <w:t xml:space="preserve"> are on a low-sodium diet. • </w:t>
      </w:r>
      <w:r w:rsidR="005322B7" w:rsidRPr="0098280F">
        <w:rPr>
          <w:rFonts w:eastAsia="TimesNewRomanPSMT"/>
          <w:sz w:val="20"/>
          <w:szCs w:val="20"/>
          <w:lang w:val="en-GB"/>
        </w:rPr>
        <w:t>y</w:t>
      </w:r>
      <w:r w:rsidRPr="0098280F">
        <w:rPr>
          <w:rFonts w:eastAsia="TimesNewRomanPSMT"/>
          <w:sz w:val="20"/>
          <w:szCs w:val="20"/>
          <w:lang w:val="en-GB"/>
        </w:rPr>
        <w:t xml:space="preserve">ou have, or have had, any combination of the following symptoms: skin rash, redness, blisters on the lips, eyes and mouth, peeling of the skin, high fever, flu-like symptoms, increased liver enzymes in your blood tests and an increased count of a certain type of white blood cells (eosinophilia), and swelling of the lymph nodes (signs of severe skin reactions). </w:t>
      </w:r>
    </w:p>
    <w:p w14:paraId="00A19FD4" w14:textId="67DB7485" w:rsidR="00133DBE" w:rsidRPr="0098280F" w:rsidRDefault="00133DBE" w:rsidP="00133DBE">
      <w:pPr>
        <w:autoSpaceDE w:val="0"/>
        <w:autoSpaceDN w:val="0"/>
        <w:adjustRightInd w:val="0"/>
        <w:spacing w:after="0" w:line="276" w:lineRule="auto"/>
        <w:rPr>
          <w:rFonts w:eastAsia="TimesNewRomanPSMT" w:cs="TimesNewRomanPSMT"/>
          <w:sz w:val="20"/>
          <w:szCs w:val="20"/>
          <w:lang w:val="en-GB"/>
        </w:rPr>
      </w:pPr>
      <w:r w:rsidRPr="0098280F">
        <w:rPr>
          <w:rFonts w:eastAsia="TimesNewRomanPSMT"/>
          <w:b/>
          <w:bCs/>
          <w:sz w:val="20"/>
          <w:szCs w:val="20"/>
          <w:lang w:val="en-GB"/>
        </w:rPr>
        <w:t xml:space="preserve">Children: </w:t>
      </w:r>
      <w:r w:rsidRPr="0098280F">
        <w:rPr>
          <w:rFonts w:eastAsia="TimesNewRomanPSMT"/>
          <w:sz w:val="20"/>
          <w:szCs w:val="20"/>
          <w:lang w:val="en-GB"/>
        </w:rPr>
        <w:t xml:space="preserve">Talk to your doctor, pharmacist or nurse before your child </w:t>
      </w:r>
      <w:r w:rsidR="00D12D71" w:rsidRPr="0098280F">
        <w:rPr>
          <w:rFonts w:eastAsia="TimesNewRomanPSMT"/>
          <w:sz w:val="20"/>
          <w:szCs w:val="20"/>
          <w:lang w:val="en-GB"/>
        </w:rPr>
        <w:t>is given</w:t>
      </w:r>
      <w:r w:rsidRPr="0098280F">
        <w:rPr>
          <w:rFonts w:eastAsia="TimesNewRomanPSMT"/>
          <w:sz w:val="20"/>
          <w:szCs w:val="20"/>
          <w:lang w:val="en-GB"/>
        </w:rPr>
        <w:t xml:space="preserve"> </w:t>
      </w:r>
      <w:proofErr w:type="spellStart"/>
      <w:r w:rsidRPr="0098280F">
        <w:rPr>
          <w:rFonts w:eastAsia="TimesNewRomanPSMT"/>
          <w:sz w:val="20"/>
          <w:szCs w:val="20"/>
          <w:lang w:val="en-GB"/>
        </w:rPr>
        <w:t>Cetafor</w:t>
      </w:r>
      <w:proofErr w:type="spellEnd"/>
      <w:r w:rsidR="00A83667" w:rsidRPr="0098280F">
        <w:rPr>
          <w:rFonts w:eastAsia="TimesNewRomanPSMT"/>
          <w:sz w:val="20"/>
          <w:szCs w:val="20"/>
          <w:vertAlign w:val="superscript"/>
          <w:lang w:val="en-GB"/>
        </w:rPr>
        <w:t>®</w:t>
      </w:r>
      <w:r w:rsidRPr="0098280F">
        <w:rPr>
          <w:rFonts w:eastAsia="TimesNewRomanPSMT"/>
          <w:sz w:val="20"/>
          <w:szCs w:val="20"/>
          <w:lang w:val="en-GB"/>
        </w:rPr>
        <w:t xml:space="preserve"> if: • </w:t>
      </w:r>
      <w:r w:rsidR="006A3615" w:rsidRPr="0098280F">
        <w:rPr>
          <w:rFonts w:eastAsia="TimesNewRomanPSMT"/>
          <w:sz w:val="20"/>
          <w:szCs w:val="20"/>
          <w:lang w:val="en-GB"/>
        </w:rPr>
        <w:t>h</w:t>
      </w:r>
      <w:r w:rsidRPr="0098280F">
        <w:rPr>
          <w:rFonts w:eastAsia="TimesNewRomanPSMT"/>
          <w:sz w:val="20"/>
          <w:szCs w:val="20"/>
          <w:lang w:val="en-GB"/>
        </w:rPr>
        <w:t>e/she has recently received – or is about to receive – a product that contains calcium through an intravenous injection.</w:t>
      </w:r>
    </w:p>
    <w:p w14:paraId="537D28E9" w14:textId="691201A8" w:rsidR="00133DBE" w:rsidRPr="0098280F" w:rsidRDefault="00133DBE" w:rsidP="00133DBE">
      <w:pPr>
        <w:autoSpaceDE w:val="0"/>
        <w:autoSpaceDN w:val="0"/>
        <w:adjustRightInd w:val="0"/>
        <w:spacing w:after="0" w:line="276" w:lineRule="auto"/>
        <w:rPr>
          <w:rFonts w:eastAsia="TimesNewRomanPSMT" w:cs="TimesNewRomanPSMT"/>
          <w:sz w:val="20"/>
          <w:szCs w:val="20"/>
          <w:lang w:val="en-GB"/>
        </w:rPr>
      </w:pPr>
      <w:r w:rsidRPr="0098280F">
        <w:rPr>
          <w:rFonts w:eastAsia="TimesNewRomanPSMT"/>
          <w:b/>
          <w:bCs/>
          <w:sz w:val="20"/>
          <w:szCs w:val="20"/>
          <w:lang w:val="en-GB"/>
        </w:rPr>
        <w:t xml:space="preserve">Other medicines and </w:t>
      </w:r>
      <w:proofErr w:type="spellStart"/>
      <w:r w:rsidRPr="0098280F">
        <w:rPr>
          <w:rFonts w:eastAsia="TimesNewRomanPSMT"/>
          <w:b/>
          <w:bCs/>
          <w:sz w:val="20"/>
          <w:szCs w:val="20"/>
          <w:lang w:val="en-GB"/>
        </w:rPr>
        <w:t>Cetafor</w:t>
      </w:r>
      <w:proofErr w:type="spellEnd"/>
      <w:r w:rsidR="00A83667" w:rsidRPr="0098280F">
        <w:rPr>
          <w:rFonts w:eastAsia="TimesNewRomanPSMT"/>
          <w:b/>
          <w:bCs/>
          <w:sz w:val="20"/>
          <w:szCs w:val="20"/>
          <w:vertAlign w:val="superscript"/>
          <w:lang w:val="en-GB"/>
        </w:rPr>
        <w:t>®</w:t>
      </w:r>
      <w:r w:rsidRPr="0098280F">
        <w:rPr>
          <w:rFonts w:eastAsia="TimesNewRomanPSMT"/>
          <w:b/>
          <w:bCs/>
          <w:sz w:val="20"/>
          <w:szCs w:val="20"/>
          <w:lang w:val="en-GB"/>
        </w:rPr>
        <w:t xml:space="preserve"> </w:t>
      </w:r>
      <w:proofErr w:type="gramStart"/>
      <w:r w:rsidRPr="0098280F">
        <w:rPr>
          <w:rFonts w:eastAsia="TimesNewRomanPSMT"/>
          <w:sz w:val="20"/>
          <w:szCs w:val="20"/>
          <w:lang w:val="en-GB"/>
        </w:rPr>
        <w:t>Tell</w:t>
      </w:r>
      <w:proofErr w:type="gramEnd"/>
      <w:r w:rsidRPr="0098280F">
        <w:rPr>
          <w:rFonts w:eastAsia="TimesNewRomanPSMT"/>
          <w:sz w:val="20"/>
          <w:szCs w:val="20"/>
          <w:lang w:val="en-GB"/>
        </w:rPr>
        <w:t xml:space="preserve"> your doctor or pharmacist if you are taking, or have recently taken, an antibiotic of the </w:t>
      </w:r>
      <w:proofErr w:type="spellStart"/>
      <w:r w:rsidRPr="0098280F">
        <w:rPr>
          <w:rFonts w:eastAsia="TimesNewRomanPSMT"/>
          <w:sz w:val="20"/>
          <w:szCs w:val="20"/>
          <w:lang w:val="en-GB"/>
        </w:rPr>
        <w:t>aminosides</w:t>
      </w:r>
      <w:proofErr w:type="spellEnd"/>
      <w:r w:rsidRPr="0098280F">
        <w:rPr>
          <w:rFonts w:eastAsia="TimesNewRomanPSMT"/>
          <w:sz w:val="20"/>
          <w:szCs w:val="20"/>
          <w:lang w:val="en-GB"/>
        </w:rPr>
        <w:t xml:space="preserve"> family, or chloramphenicol. </w:t>
      </w:r>
    </w:p>
    <w:p w14:paraId="03974286" w14:textId="2B0936E7" w:rsidR="00133DBE" w:rsidRPr="0098280F" w:rsidRDefault="00133DBE" w:rsidP="00133DBE">
      <w:pPr>
        <w:autoSpaceDE w:val="0"/>
        <w:autoSpaceDN w:val="0"/>
        <w:adjustRightInd w:val="0"/>
        <w:spacing w:after="0" w:line="276" w:lineRule="auto"/>
        <w:rPr>
          <w:rFonts w:eastAsia="TimesNewRomanPSMT" w:cs="TimesNewRomanPS-BoldMT"/>
          <w:b/>
          <w:bCs/>
          <w:sz w:val="20"/>
          <w:szCs w:val="20"/>
          <w:lang w:val="en-GB"/>
        </w:rPr>
      </w:pPr>
      <w:r w:rsidRPr="0098280F">
        <w:rPr>
          <w:rFonts w:eastAsia="TimesNewRomanPSMT" w:cs="TimesNewRomanPS-BoldMT"/>
          <w:b/>
          <w:bCs/>
          <w:sz w:val="20"/>
          <w:szCs w:val="20"/>
          <w:lang w:val="en-GB"/>
        </w:rPr>
        <w:t>Pregnancy</w:t>
      </w:r>
      <w:r w:rsidR="008C0AFD" w:rsidRPr="0098280F">
        <w:rPr>
          <w:rFonts w:eastAsia="TimesNewRomanPSMT" w:cs="TimesNewRomanPS-BoldMT"/>
          <w:b/>
          <w:bCs/>
          <w:sz w:val="20"/>
          <w:szCs w:val="20"/>
          <w:lang w:val="en-GB"/>
        </w:rPr>
        <w:t xml:space="preserve"> and</w:t>
      </w:r>
      <w:r w:rsidRPr="0098280F">
        <w:rPr>
          <w:rFonts w:eastAsia="TimesNewRomanPSMT" w:cs="TimesNewRomanPS-BoldMT"/>
          <w:b/>
          <w:bCs/>
          <w:sz w:val="20"/>
          <w:szCs w:val="20"/>
          <w:lang w:val="en-GB"/>
        </w:rPr>
        <w:t xml:space="preserve"> breast-feeding </w:t>
      </w:r>
    </w:p>
    <w:p w14:paraId="5CDFBF62" w14:textId="654BA641" w:rsidR="00133DBE" w:rsidRPr="0098280F" w:rsidRDefault="00133DBE" w:rsidP="00133DBE">
      <w:pPr>
        <w:autoSpaceDE w:val="0"/>
        <w:autoSpaceDN w:val="0"/>
        <w:adjustRightInd w:val="0"/>
        <w:spacing w:after="0" w:line="276" w:lineRule="auto"/>
        <w:rPr>
          <w:rFonts w:eastAsia="TimesNewRomanPSMT" w:cs="TimesNewRomanPSMT"/>
          <w:sz w:val="20"/>
          <w:szCs w:val="20"/>
          <w:lang w:val="en-GB"/>
        </w:rPr>
      </w:pPr>
      <w:r w:rsidRPr="0098280F">
        <w:rPr>
          <w:rFonts w:eastAsia="TimesNewRomanPSMT" w:cs="TimesNewRomanPSMT"/>
          <w:sz w:val="20"/>
          <w:szCs w:val="20"/>
          <w:lang w:val="en-GB"/>
        </w:rPr>
        <w:t xml:space="preserve">If you are pregnant or breast-feeding, think you may be pregnant or are planning to have a baby, ask your doctor for advice before </w:t>
      </w:r>
      <w:r w:rsidR="00EB337C" w:rsidRPr="0098280F">
        <w:rPr>
          <w:rFonts w:eastAsia="TimesNewRomanPSMT" w:cs="TimesNewRomanPSMT"/>
          <w:sz w:val="20"/>
          <w:szCs w:val="20"/>
          <w:lang w:val="en-GB"/>
        </w:rPr>
        <w:t xml:space="preserve">using </w:t>
      </w:r>
      <w:r w:rsidRPr="0098280F">
        <w:rPr>
          <w:rFonts w:eastAsia="TimesNewRomanPSMT" w:cs="TimesNewRomanPSMT"/>
          <w:sz w:val="20"/>
          <w:szCs w:val="20"/>
          <w:lang w:val="en-GB"/>
        </w:rPr>
        <w:t xml:space="preserve">this medicine. Your doctor will consider the possible benefits of </w:t>
      </w:r>
      <w:proofErr w:type="spellStart"/>
      <w:r w:rsidRPr="0098280F">
        <w:rPr>
          <w:rFonts w:eastAsia="TimesNewRomanPSMT" w:cs="TimesNewRomanPSMT"/>
          <w:sz w:val="20"/>
          <w:szCs w:val="20"/>
          <w:lang w:val="en-GB"/>
        </w:rPr>
        <w:t>Cetafor</w:t>
      </w:r>
      <w:proofErr w:type="spellEnd"/>
      <w:r w:rsidR="00A83667" w:rsidRPr="0098280F">
        <w:rPr>
          <w:rFonts w:eastAsia="TimesNewRomanPSMT" w:cs="TimesNewRomanPSMT"/>
          <w:sz w:val="20"/>
          <w:szCs w:val="20"/>
          <w:vertAlign w:val="superscript"/>
          <w:lang w:val="en-GB"/>
        </w:rPr>
        <w:t>®</w:t>
      </w:r>
      <w:r w:rsidR="008E72A6" w:rsidRPr="0098280F">
        <w:rPr>
          <w:rFonts w:eastAsia="TimesNewRomanPSMT" w:cs="TimesNewRomanPSMT"/>
          <w:sz w:val="20"/>
          <w:szCs w:val="20"/>
          <w:lang w:val="en-GB"/>
        </w:rPr>
        <w:t xml:space="preserve"> </w:t>
      </w:r>
      <w:r w:rsidRPr="0098280F">
        <w:rPr>
          <w:rFonts w:eastAsia="TimesNewRomanPSMT" w:cs="TimesNewRomanPSMT"/>
          <w:sz w:val="20"/>
          <w:szCs w:val="20"/>
          <w:lang w:val="en-GB"/>
        </w:rPr>
        <w:t>in order to treat you, as well as the risk it may involve for your baby.</w:t>
      </w:r>
    </w:p>
    <w:p w14:paraId="0EBDEEFE" w14:textId="77777777" w:rsidR="00133DBE" w:rsidRPr="0098280F" w:rsidRDefault="00133DBE" w:rsidP="00133DBE">
      <w:pPr>
        <w:autoSpaceDE w:val="0"/>
        <w:autoSpaceDN w:val="0"/>
        <w:adjustRightInd w:val="0"/>
        <w:spacing w:after="0" w:line="276" w:lineRule="auto"/>
        <w:rPr>
          <w:rFonts w:eastAsia="TimesNewRomanPSMT" w:cs="TimesNewRomanPS-BoldMT"/>
          <w:b/>
          <w:bCs/>
          <w:sz w:val="20"/>
          <w:szCs w:val="20"/>
          <w:lang w:val="en-GB"/>
        </w:rPr>
      </w:pPr>
      <w:r w:rsidRPr="0098280F">
        <w:rPr>
          <w:rFonts w:eastAsia="TimesNewRomanPSMT" w:cs="TimesNewRomanPS-BoldMT"/>
          <w:b/>
          <w:bCs/>
          <w:sz w:val="20"/>
          <w:szCs w:val="20"/>
          <w:lang w:val="en-GB"/>
        </w:rPr>
        <w:t>Driving and using machines</w:t>
      </w:r>
    </w:p>
    <w:p w14:paraId="27863854" w14:textId="49B58637" w:rsidR="00133DBE" w:rsidRPr="0098280F" w:rsidRDefault="00E53E83" w:rsidP="00133DBE">
      <w:pPr>
        <w:autoSpaceDE w:val="0"/>
        <w:autoSpaceDN w:val="0"/>
        <w:adjustRightInd w:val="0"/>
        <w:spacing w:after="0" w:line="276" w:lineRule="auto"/>
        <w:rPr>
          <w:rFonts w:eastAsia="TimesNewRomanPSMT" w:cs="TimesNewRomanPSMT"/>
          <w:sz w:val="20"/>
          <w:szCs w:val="20"/>
          <w:lang w:val="en-GB"/>
        </w:rPr>
      </w:pPr>
      <w:proofErr w:type="spellStart"/>
      <w:r w:rsidRPr="0098280F">
        <w:rPr>
          <w:rFonts w:eastAsia="TimesNewRomanPSMT" w:cs="TimesNewRomanPSMT"/>
          <w:sz w:val="20"/>
          <w:szCs w:val="20"/>
          <w:lang w:val="en-GB"/>
        </w:rPr>
        <w:t>Cetafor</w:t>
      </w:r>
      <w:proofErr w:type="spellEnd"/>
      <w:r w:rsidR="00A83667" w:rsidRPr="0098280F">
        <w:rPr>
          <w:rFonts w:eastAsia="TimesNewRomanPSMT" w:cs="TimesNewRomanPSMT"/>
          <w:sz w:val="20"/>
          <w:szCs w:val="20"/>
          <w:vertAlign w:val="superscript"/>
          <w:lang w:val="en-GB"/>
        </w:rPr>
        <w:t>®</w:t>
      </w:r>
      <w:r w:rsidRPr="0098280F">
        <w:rPr>
          <w:rFonts w:eastAsia="TimesNewRomanPSMT" w:cs="TimesNewRomanPSMT"/>
          <w:sz w:val="20"/>
          <w:szCs w:val="20"/>
          <w:lang w:val="en-GB"/>
        </w:rPr>
        <w:t xml:space="preserve"> can cause dizziness. If you feel dizzy, do not drive or use any tools or machines. Talk to your doctor if you develop any such symptoms.</w:t>
      </w:r>
    </w:p>
    <w:p w14:paraId="43D69C78" w14:textId="00723F69" w:rsidR="00802448" w:rsidRPr="0098280F" w:rsidRDefault="000052D2" w:rsidP="00133DBE">
      <w:pPr>
        <w:autoSpaceDE w:val="0"/>
        <w:autoSpaceDN w:val="0"/>
        <w:adjustRightInd w:val="0"/>
        <w:spacing w:after="0" w:line="276" w:lineRule="auto"/>
        <w:rPr>
          <w:rFonts w:eastAsia="TimesNewRomanPSMT"/>
          <w:b/>
          <w:bCs/>
          <w:sz w:val="20"/>
          <w:szCs w:val="20"/>
          <w:lang w:val="en-GB"/>
        </w:rPr>
      </w:pPr>
      <w:r w:rsidRPr="0098280F">
        <w:rPr>
          <w:rFonts w:eastAsia="TimesNewRomanPSMT"/>
          <w:b/>
          <w:bCs/>
          <w:sz w:val="20"/>
          <w:szCs w:val="20"/>
          <w:lang w:val="en-GB"/>
        </w:rPr>
        <w:t>3</w:t>
      </w:r>
      <w:r w:rsidR="00133DBE" w:rsidRPr="0098280F">
        <w:rPr>
          <w:rFonts w:eastAsia="TimesNewRomanPSMT"/>
          <w:b/>
          <w:bCs/>
          <w:sz w:val="20"/>
          <w:szCs w:val="20"/>
          <w:lang w:val="en-GB"/>
        </w:rPr>
        <w:t xml:space="preserve">. How to </w:t>
      </w:r>
      <w:r w:rsidR="00652832" w:rsidRPr="0098280F">
        <w:rPr>
          <w:rFonts w:eastAsia="TimesNewRomanPSMT"/>
          <w:b/>
          <w:bCs/>
          <w:sz w:val="20"/>
          <w:szCs w:val="20"/>
          <w:lang w:val="en-GB"/>
        </w:rPr>
        <w:t>use</w:t>
      </w:r>
      <w:r w:rsidR="00133DBE" w:rsidRPr="0098280F">
        <w:rPr>
          <w:rFonts w:eastAsia="TimesNewRomanPSMT"/>
          <w:b/>
          <w:bCs/>
          <w:sz w:val="20"/>
          <w:szCs w:val="20"/>
          <w:lang w:val="en-GB"/>
        </w:rPr>
        <w:t xml:space="preserve"> </w:t>
      </w:r>
      <w:proofErr w:type="spellStart"/>
      <w:r w:rsidR="00133DBE" w:rsidRPr="0098280F">
        <w:rPr>
          <w:rFonts w:eastAsia="TimesNewRomanPSMT"/>
          <w:b/>
          <w:bCs/>
          <w:sz w:val="20"/>
          <w:szCs w:val="20"/>
          <w:lang w:val="en-GB"/>
        </w:rPr>
        <w:t>Cetafor</w:t>
      </w:r>
      <w:proofErr w:type="spellEnd"/>
      <w:r w:rsidR="00A83667" w:rsidRPr="0098280F">
        <w:rPr>
          <w:rFonts w:eastAsia="TimesNewRomanPSMT"/>
          <w:b/>
          <w:bCs/>
          <w:sz w:val="20"/>
          <w:szCs w:val="20"/>
          <w:vertAlign w:val="superscript"/>
          <w:lang w:val="en-GB"/>
        </w:rPr>
        <w:t>®</w:t>
      </w:r>
      <w:r w:rsidR="001E7888" w:rsidRPr="0098280F">
        <w:rPr>
          <w:rFonts w:eastAsia="TimesNewRomanPSMT"/>
          <w:b/>
          <w:bCs/>
          <w:sz w:val="20"/>
          <w:szCs w:val="20"/>
          <w:lang w:val="en-GB"/>
        </w:rPr>
        <w:t xml:space="preserve"> </w:t>
      </w:r>
      <w:r w:rsidR="00B46F1B">
        <w:rPr>
          <w:rFonts w:eastAsia="TimesNewRomanPSMT"/>
          <w:b/>
          <w:bCs/>
          <w:sz w:val="20"/>
          <w:szCs w:val="20"/>
          <w:lang w:val="en-GB"/>
        </w:rPr>
        <w:t>2000 IV</w:t>
      </w:r>
    </w:p>
    <w:p w14:paraId="632BAEE1" w14:textId="3A77E802" w:rsidR="00133DBE" w:rsidRPr="0098280F" w:rsidRDefault="00133DBE" w:rsidP="00133DBE">
      <w:pPr>
        <w:autoSpaceDE w:val="0"/>
        <w:autoSpaceDN w:val="0"/>
        <w:adjustRightInd w:val="0"/>
        <w:spacing w:after="0" w:line="276" w:lineRule="auto"/>
        <w:rPr>
          <w:rFonts w:eastAsia="TimesNewRomanPSMT" w:cs="TimesNewRomanPSMT"/>
          <w:sz w:val="20"/>
          <w:szCs w:val="20"/>
          <w:lang w:val="en-GB"/>
        </w:rPr>
      </w:pPr>
      <w:r w:rsidRPr="0098280F">
        <w:rPr>
          <w:rFonts w:eastAsia="TimesNewRomanPSMT"/>
          <w:b/>
          <w:bCs/>
          <w:sz w:val="20"/>
          <w:szCs w:val="20"/>
          <w:lang w:val="en-GB"/>
        </w:rPr>
        <w:t xml:space="preserve"> </w:t>
      </w:r>
      <w:proofErr w:type="spellStart"/>
      <w:r w:rsidRPr="0098280F">
        <w:rPr>
          <w:rFonts w:eastAsia="TimesNewRomanPSMT"/>
          <w:sz w:val="20"/>
          <w:szCs w:val="20"/>
          <w:lang w:val="en-GB"/>
        </w:rPr>
        <w:t>Cetafor</w:t>
      </w:r>
      <w:proofErr w:type="spellEnd"/>
      <w:r w:rsidR="00A83667" w:rsidRPr="0098280F">
        <w:rPr>
          <w:rFonts w:eastAsia="TimesNewRomanPSMT"/>
          <w:sz w:val="20"/>
          <w:szCs w:val="20"/>
          <w:vertAlign w:val="superscript"/>
          <w:lang w:val="en-GB"/>
        </w:rPr>
        <w:t>®</w:t>
      </w:r>
      <w:r w:rsidR="00652832" w:rsidRPr="0098280F">
        <w:rPr>
          <w:rFonts w:eastAsia="TimesNewRomanPSMT"/>
          <w:sz w:val="20"/>
          <w:szCs w:val="20"/>
          <w:lang w:val="en-GB"/>
        </w:rPr>
        <w:t xml:space="preserve"> </w:t>
      </w:r>
      <w:r w:rsidRPr="0098280F">
        <w:rPr>
          <w:rFonts w:eastAsia="TimesNewRomanPSMT"/>
          <w:sz w:val="20"/>
          <w:szCs w:val="20"/>
          <w:lang w:val="en-GB"/>
        </w:rPr>
        <w:t xml:space="preserve">is administered by a doctor or a nurse. It may be either administered </w:t>
      </w:r>
      <w:r w:rsidR="00652832" w:rsidRPr="0098280F">
        <w:rPr>
          <w:rFonts w:eastAsia="TimesNewRomanPSMT"/>
          <w:sz w:val="20"/>
          <w:szCs w:val="20"/>
          <w:lang w:val="en-GB"/>
        </w:rPr>
        <w:t>through</w:t>
      </w:r>
      <w:r w:rsidRPr="0098280F">
        <w:rPr>
          <w:rFonts w:eastAsia="TimesNewRomanPSMT"/>
          <w:sz w:val="20"/>
          <w:szCs w:val="20"/>
          <w:lang w:val="en-GB"/>
        </w:rPr>
        <w:t xml:space="preserve"> an intravenous infusion, or directly injected into a vein or muscle. </w:t>
      </w:r>
      <w:proofErr w:type="spellStart"/>
      <w:r w:rsidRPr="0098280F">
        <w:rPr>
          <w:rFonts w:eastAsia="TimesNewRomanPSMT"/>
          <w:sz w:val="20"/>
          <w:szCs w:val="20"/>
          <w:lang w:val="en-GB"/>
        </w:rPr>
        <w:t>Cetafor</w:t>
      </w:r>
      <w:proofErr w:type="spellEnd"/>
      <w:r w:rsidR="00A83667" w:rsidRPr="0098280F">
        <w:rPr>
          <w:rFonts w:eastAsia="TimesNewRomanPSMT"/>
          <w:sz w:val="20"/>
          <w:szCs w:val="20"/>
          <w:vertAlign w:val="superscript"/>
          <w:lang w:val="en-GB"/>
        </w:rPr>
        <w:t>®</w:t>
      </w:r>
      <w:r w:rsidR="00802448" w:rsidRPr="0098280F">
        <w:rPr>
          <w:rFonts w:eastAsia="TimesNewRomanPSMT"/>
          <w:sz w:val="20"/>
          <w:szCs w:val="20"/>
          <w:lang w:val="en-GB"/>
        </w:rPr>
        <w:t xml:space="preserve"> </w:t>
      </w:r>
      <w:r w:rsidRPr="0098280F">
        <w:rPr>
          <w:rFonts w:eastAsia="TimesNewRomanPSMT"/>
          <w:sz w:val="20"/>
          <w:szCs w:val="20"/>
          <w:lang w:val="en-GB"/>
        </w:rPr>
        <w:t>is dosed by the doctor, pharmacist or nurse and must never be mixed with, or administered at the same time as, an injection containing calcium.</w:t>
      </w:r>
    </w:p>
    <w:p w14:paraId="0035B871" w14:textId="131E6232" w:rsidR="00133DBE" w:rsidRPr="0098280F" w:rsidRDefault="00133DBE" w:rsidP="00133DBE">
      <w:pPr>
        <w:autoSpaceDE w:val="0"/>
        <w:autoSpaceDN w:val="0"/>
        <w:adjustRightInd w:val="0"/>
        <w:spacing w:after="0" w:line="276" w:lineRule="auto"/>
        <w:rPr>
          <w:rFonts w:eastAsia="TimesNewRomanPSMT" w:cs="TimesNewRomanPSMT"/>
          <w:sz w:val="20"/>
          <w:szCs w:val="20"/>
          <w:lang w:val="en-GB"/>
        </w:rPr>
      </w:pPr>
      <w:r w:rsidRPr="0098280F">
        <w:rPr>
          <w:rFonts w:eastAsia="TimesNewRomanPSMT"/>
          <w:b/>
          <w:bCs/>
          <w:sz w:val="20"/>
          <w:szCs w:val="20"/>
          <w:lang w:val="en-GB"/>
        </w:rPr>
        <w:lastRenderedPageBreak/>
        <w:t xml:space="preserve">Usual posology: </w:t>
      </w:r>
      <w:r w:rsidRPr="0098280F">
        <w:rPr>
          <w:rFonts w:eastAsia="TimesNewRomanPSMT"/>
          <w:sz w:val="20"/>
          <w:szCs w:val="20"/>
          <w:lang w:val="en-GB"/>
        </w:rPr>
        <w:t>Your doctor will decide wh</w:t>
      </w:r>
      <w:r w:rsidR="00E37B5C" w:rsidRPr="0098280F">
        <w:rPr>
          <w:rFonts w:eastAsia="TimesNewRomanPSMT"/>
          <w:sz w:val="20"/>
          <w:szCs w:val="20"/>
          <w:lang w:val="en-GB"/>
        </w:rPr>
        <w:t>ich</w:t>
      </w:r>
      <w:r w:rsidRPr="0098280F">
        <w:rPr>
          <w:rFonts w:eastAsia="TimesNewRomanPSMT"/>
          <w:sz w:val="20"/>
          <w:szCs w:val="20"/>
          <w:lang w:val="en-GB"/>
        </w:rPr>
        <w:t xml:space="preserve"> dose of </w:t>
      </w:r>
      <w:proofErr w:type="spellStart"/>
      <w:r w:rsidRPr="0098280F">
        <w:rPr>
          <w:rFonts w:eastAsia="TimesNewRomanPSMT"/>
          <w:sz w:val="20"/>
          <w:szCs w:val="20"/>
          <w:lang w:val="en-GB"/>
        </w:rPr>
        <w:t>Cetafor</w:t>
      </w:r>
      <w:proofErr w:type="spellEnd"/>
      <w:r w:rsidR="00A83667" w:rsidRPr="0098280F">
        <w:rPr>
          <w:rFonts w:eastAsia="TimesNewRomanPSMT"/>
          <w:sz w:val="20"/>
          <w:szCs w:val="20"/>
          <w:vertAlign w:val="superscript"/>
          <w:lang w:val="en-GB"/>
        </w:rPr>
        <w:t>®</w:t>
      </w:r>
      <w:r w:rsidRPr="0098280F">
        <w:rPr>
          <w:rFonts w:eastAsia="TimesNewRomanPSMT"/>
          <w:sz w:val="20"/>
          <w:szCs w:val="20"/>
          <w:lang w:val="en-GB"/>
        </w:rPr>
        <w:t xml:space="preserve"> is best for you. The dose will depend on</w:t>
      </w:r>
      <w:r w:rsidR="00E37B5C" w:rsidRPr="0098280F">
        <w:rPr>
          <w:rFonts w:eastAsia="TimesNewRomanPSMT"/>
          <w:sz w:val="20"/>
          <w:szCs w:val="20"/>
          <w:lang w:val="en-GB"/>
        </w:rPr>
        <w:t xml:space="preserve"> •</w:t>
      </w:r>
      <w:r w:rsidRPr="0098280F">
        <w:rPr>
          <w:rFonts w:eastAsia="TimesNewRomanPSMT"/>
          <w:sz w:val="20"/>
          <w:szCs w:val="20"/>
          <w:lang w:val="en-GB"/>
        </w:rPr>
        <w:t>the severity and type of infection you have</w:t>
      </w:r>
      <w:r w:rsidR="00E37B5C" w:rsidRPr="0098280F">
        <w:rPr>
          <w:rFonts w:eastAsia="TimesNewRomanPSMT"/>
          <w:sz w:val="20"/>
          <w:szCs w:val="20"/>
          <w:lang w:val="en-GB"/>
        </w:rPr>
        <w:t>•</w:t>
      </w:r>
      <w:r w:rsidRPr="0098280F">
        <w:rPr>
          <w:rFonts w:eastAsia="TimesNewRomanPSMT"/>
          <w:sz w:val="20"/>
          <w:szCs w:val="20"/>
          <w:lang w:val="en-GB"/>
        </w:rPr>
        <w:t xml:space="preserve"> on whether or not you are taking any other antibiotics</w:t>
      </w:r>
      <w:r w:rsidR="00E37B5C" w:rsidRPr="0098280F">
        <w:rPr>
          <w:rFonts w:eastAsia="TimesNewRomanPSMT"/>
          <w:sz w:val="20"/>
          <w:szCs w:val="20"/>
          <w:lang w:val="en-GB"/>
        </w:rPr>
        <w:t>•</w:t>
      </w:r>
      <w:r w:rsidRPr="0098280F">
        <w:rPr>
          <w:rFonts w:eastAsia="TimesNewRomanPSMT"/>
          <w:sz w:val="20"/>
          <w:szCs w:val="20"/>
          <w:lang w:val="en-GB"/>
        </w:rPr>
        <w:t xml:space="preserve"> on your weight and age</w:t>
      </w:r>
      <w:r w:rsidR="00E37B5C" w:rsidRPr="0098280F">
        <w:rPr>
          <w:rFonts w:eastAsia="TimesNewRomanPSMT"/>
          <w:sz w:val="20"/>
          <w:szCs w:val="20"/>
          <w:lang w:val="en-GB"/>
        </w:rPr>
        <w:t xml:space="preserve"> </w:t>
      </w:r>
      <w:proofErr w:type="gramStart"/>
      <w:r w:rsidR="00E37B5C" w:rsidRPr="0098280F">
        <w:rPr>
          <w:rFonts w:eastAsia="TimesNewRomanPSMT"/>
          <w:sz w:val="20"/>
          <w:szCs w:val="20"/>
          <w:lang w:val="en-GB"/>
        </w:rPr>
        <w:t>•</w:t>
      </w:r>
      <w:r w:rsidRPr="0098280F">
        <w:rPr>
          <w:rFonts w:eastAsia="TimesNewRomanPSMT"/>
          <w:sz w:val="20"/>
          <w:szCs w:val="20"/>
          <w:lang w:val="en-GB"/>
        </w:rPr>
        <w:t xml:space="preserve">  on</w:t>
      </w:r>
      <w:proofErr w:type="gramEnd"/>
      <w:r w:rsidRPr="0098280F">
        <w:rPr>
          <w:rFonts w:eastAsia="TimesNewRomanPSMT"/>
          <w:sz w:val="20"/>
          <w:szCs w:val="20"/>
          <w:lang w:val="en-GB"/>
        </w:rPr>
        <w:t xml:space="preserve"> how your kidneys and liver are working. </w:t>
      </w:r>
      <w:r w:rsidR="00C26CA4" w:rsidRPr="0098280F">
        <w:rPr>
          <w:rFonts w:eastAsia="TimesNewRomanPSMT"/>
          <w:sz w:val="20"/>
          <w:szCs w:val="20"/>
          <w:lang w:val="en-GB"/>
        </w:rPr>
        <w:t>•</w:t>
      </w:r>
      <w:r w:rsidRPr="0098280F">
        <w:rPr>
          <w:rFonts w:eastAsia="TimesNewRomanPSMT"/>
          <w:sz w:val="20"/>
          <w:szCs w:val="20"/>
          <w:lang w:val="en-GB"/>
        </w:rPr>
        <w:t xml:space="preserve">The length of time for which you will receive </w:t>
      </w:r>
      <w:proofErr w:type="spellStart"/>
      <w:r w:rsidRPr="0098280F">
        <w:rPr>
          <w:rFonts w:eastAsia="TimesNewRomanPSMT"/>
          <w:sz w:val="20"/>
          <w:szCs w:val="20"/>
          <w:lang w:val="en-GB"/>
        </w:rPr>
        <w:t>Cetafor</w:t>
      </w:r>
      <w:proofErr w:type="spellEnd"/>
      <w:r w:rsidR="00A83667" w:rsidRPr="0098280F">
        <w:rPr>
          <w:rFonts w:eastAsia="TimesNewRomanPSMT"/>
          <w:sz w:val="20"/>
          <w:szCs w:val="20"/>
          <w:vertAlign w:val="superscript"/>
          <w:lang w:val="en-GB"/>
        </w:rPr>
        <w:t>®</w:t>
      </w:r>
      <w:r w:rsidR="00316012" w:rsidRPr="0098280F">
        <w:rPr>
          <w:rFonts w:eastAsia="TimesNewRomanPSMT"/>
          <w:sz w:val="20"/>
          <w:szCs w:val="20"/>
          <w:lang w:val="en-GB"/>
        </w:rPr>
        <w:t xml:space="preserve"> </w:t>
      </w:r>
      <w:r w:rsidRPr="0098280F">
        <w:rPr>
          <w:rFonts w:eastAsia="TimesNewRomanPSMT"/>
          <w:sz w:val="20"/>
          <w:szCs w:val="20"/>
          <w:lang w:val="en-GB"/>
        </w:rPr>
        <w:t xml:space="preserve">will depend on the type of infection you have. </w:t>
      </w:r>
      <w:r w:rsidRPr="0098280F">
        <w:rPr>
          <w:rFonts w:eastAsia="TimesNewRomanPSMT"/>
          <w:b/>
          <w:bCs/>
          <w:sz w:val="20"/>
          <w:szCs w:val="20"/>
          <w:lang w:val="en-GB"/>
        </w:rPr>
        <w:t xml:space="preserve">Adults, elderly people and children aged 12 years or more, with a body weight of 50kg or more: </w:t>
      </w:r>
      <w:r w:rsidRPr="0098280F">
        <w:rPr>
          <w:rFonts w:eastAsia="TimesNewRomanPSMT"/>
          <w:sz w:val="20"/>
          <w:szCs w:val="20"/>
          <w:lang w:val="en-GB"/>
        </w:rPr>
        <w:t>• 1</w:t>
      </w:r>
      <w:r w:rsidR="00C15E00" w:rsidRPr="0098280F">
        <w:rPr>
          <w:rFonts w:eastAsia="TimesNewRomanPSMT"/>
          <w:sz w:val="20"/>
          <w:szCs w:val="20"/>
          <w:lang w:val="en-GB"/>
        </w:rPr>
        <w:t>000 mg</w:t>
      </w:r>
      <w:r w:rsidRPr="0098280F">
        <w:rPr>
          <w:rFonts w:eastAsia="TimesNewRomanPSMT"/>
          <w:sz w:val="20"/>
          <w:szCs w:val="20"/>
          <w:lang w:val="en-GB"/>
        </w:rPr>
        <w:t xml:space="preserve"> to 2</w:t>
      </w:r>
      <w:r w:rsidR="00C15E00" w:rsidRPr="0098280F">
        <w:rPr>
          <w:rFonts w:eastAsia="TimesNewRomanPSMT"/>
          <w:sz w:val="20"/>
          <w:szCs w:val="20"/>
          <w:lang w:val="en-GB"/>
        </w:rPr>
        <w:t>000 m</w:t>
      </w:r>
      <w:r w:rsidRPr="0098280F">
        <w:rPr>
          <w:rFonts w:eastAsia="TimesNewRomanPSMT"/>
          <w:sz w:val="20"/>
          <w:szCs w:val="20"/>
          <w:lang w:val="en-GB"/>
        </w:rPr>
        <w:t>g, once a day, depending on the severity and type of infection. If you have a severe infection, your doctor will prescribe a higher dose (which may be up to 4</w:t>
      </w:r>
      <w:r w:rsidR="005A10D4" w:rsidRPr="0098280F">
        <w:rPr>
          <w:rFonts w:eastAsia="TimesNewRomanPSMT"/>
          <w:sz w:val="20"/>
          <w:szCs w:val="20"/>
          <w:lang w:val="en-GB"/>
        </w:rPr>
        <w:t xml:space="preserve"> </w:t>
      </w:r>
      <w:r w:rsidRPr="0098280F">
        <w:rPr>
          <w:rFonts w:eastAsia="TimesNewRomanPSMT"/>
          <w:sz w:val="20"/>
          <w:szCs w:val="20"/>
          <w:lang w:val="en-GB"/>
        </w:rPr>
        <w:t>g</w:t>
      </w:r>
      <w:r w:rsidR="005A10D4" w:rsidRPr="0098280F">
        <w:rPr>
          <w:rFonts w:eastAsia="TimesNewRomanPSMT"/>
          <w:sz w:val="20"/>
          <w:szCs w:val="20"/>
          <w:lang w:val="en-GB"/>
        </w:rPr>
        <w:t>ram</w:t>
      </w:r>
      <w:r w:rsidR="00316012" w:rsidRPr="0098280F">
        <w:rPr>
          <w:rFonts w:eastAsia="TimesNewRomanPSMT"/>
          <w:sz w:val="20"/>
          <w:szCs w:val="20"/>
          <w:lang w:val="en-GB"/>
        </w:rPr>
        <w:t>s</w:t>
      </w:r>
      <w:r w:rsidRPr="0098280F">
        <w:rPr>
          <w:rFonts w:eastAsia="TimesNewRomanPSMT"/>
          <w:sz w:val="20"/>
          <w:szCs w:val="20"/>
          <w:lang w:val="en-GB"/>
        </w:rPr>
        <w:t xml:space="preserve"> per day). If the daily dose you are taking is over 2</w:t>
      </w:r>
      <w:r w:rsidR="0090006D" w:rsidRPr="0098280F">
        <w:rPr>
          <w:rFonts w:eastAsia="TimesNewRomanPSMT"/>
          <w:sz w:val="20"/>
          <w:szCs w:val="20"/>
          <w:lang w:val="en-GB"/>
        </w:rPr>
        <w:t>000 m</w:t>
      </w:r>
      <w:r w:rsidRPr="0098280F">
        <w:rPr>
          <w:rFonts w:eastAsia="TimesNewRomanPSMT"/>
          <w:sz w:val="20"/>
          <w:szCs w:val="20"/>
          <w:lang w:val="en-GB"/>
        </w:rPr>
        <w:t xml:space="preserve">g, your treatment may be administered either as a single dose or as two daily doses. </w:t>
      </w:r>
      <w:r w:rsidR="00C15E00" w:rsidRPr="0098280F">
        <w:rPr>
          <w:rFonts w:eastAsia="TimesNewRomanPSMT"/>
          <w:b/>
          <w:bCs/>
          <w:sz w:val="20"/>
          <w:szCs w:val="20"/>
          <w:lang w:val="en-GB"/>
        </w:rPr>
        <w:t>New-borns</w:t>
      </w:r>
      <w:r w:rsidRPr="0098280F">
        <w:rPr>
          <w:rFonts w:eastAsia="TimesNewRomanPSMT"/>
          <w:b/>
          <w:bCs/>
          <w:sz w:val="20"/>
          <w:szCs w:val="20"/>
          <w:lang w:val="en-GB"/>
        </w:rPr>
        <w:t xml:space="preserve">, infants and children aged 15 days to 12 years, with a body weight of less than 50kg: </w:t>
      </w:r>
      <w:r w:rsidRPr="0098280F">
        <w:rPr>
          <w:rFonts w:eastAsia="TimesNewRomanPSMT"/>
          <w:sz w:val="20"/>
          <w:szCs w:val="20"/>
          <w:lang w:val="en-GB"/>
        </w:rPr>
        <w:t xml:space="preserve">• 50 to 80mg of </w:t>
      </w:r>
      <w:r w:rsidR="00C15E00" w:rsidRPr="0098280F">
        <w:rPr>
          <w:rFonts w:eastAsia="TimesNewRomanPSMT"/>
          <w:sz w:val="20"/>
          <w:szCs w:val="20"/>
          <w:lang w:val="en-GB"/>
        </w:rPr>
        <w:t xml:space="preserve">ceftriaxone </w:t>
      </w:r>
      <w:r w:rsidRPr="0098280F">
        <w:rPr>
          <w:rFonts w:eastAsia="TimesNewRomanPSMT"/>
          <w:sz w:val="20"/>
          <w:szCs w:val="20"/>
          <w:lang w:val="en-GB"/>
        </w:rPr>
        <w:t>per kilogramme of the child’s body weight, once a day, depending on the severity and type of infection. If you have a severe infection, your doctor will prescribe a higher dose which may be up to 100mg per kilogramme of body weight, for a maximum dose of 4</w:t>
      </w:r>
      <w:r w:rsidR="0090006D" w:rsidRPr="0098280F">
        <w:rPr>
          <w:rFonts w:eastAsia="TimesNewRomanPSMT"/>
          <w:sz w:val="20"/>
          <w:szCs w:val="20"/>
          <w:lang w:val="en-GB"/>
        </w:rPr>
        <w:t xml:space="preserve"> gram</w:t>
      </w:r>
      <w:r w:rsidR="00316012" w:rsidRPr="0098280F">
        <w:rPr>
          <w:rFonts w:eastAsia="TimesNewRomanPSMT"/>
          <w:sz w:val="20"/>
          <w:szCs w:val="20"/>
          <w:lang w:val="en-GB"/>
        </w:rPr>
        <w:t>s</w:t>
      </w:r>
      <w:r w:rsidRPr="0098280F">
        <w:rPr>
          <w:rFonts w:eastAsia="TimesNewRomanPSMT"/>
          <w:sz w:val="20"/>
          <w:szCs w:val="20"/>
          <w:lang w:val="en-GB"/>
        </w:rPr>
        <w:t xml:space="preserve"> per day. • Children weighing 50kg or more will receive the same dose as adults. </w:t>
      </w:r>
      <w:r w:rsidR="0090006D" w:rsidRPr="0098280F">
        <w:rPr>
          <w:rFonts w:eastAsia="TimesNewRomanPSMT"/>
          <w:b/>
          <w:bCs/>
          <w:sz w:val="20"/>
          <w:szCs w:val="20"/>
          <w:lang w:val="en-GB"/>
        </w:rPr>
        <w:t>New-borns</w:t>
      </w:r>
      <w:r w:rsidRPr="0098280F">
        <w:rPr>
          <w:rFonts w:eastAsia="TimesNewRomanPSMT"/>
          <w:b/>
          <w:bCs/>
          <w:sz w:val="20"/>
          <w:szCs w:val="20"/>
          <w:lang w:val="en-GB"/>
        </w:rPr>
        <w:t xml:space="preserve"> (aged 0 to 14 days) </w:t>
      </w:r>
      <w:r w:rsidRPr="0098280F">
        <w:rPr>
          <w:rFonts w:eastAsia="TimesNewRomanPSMT"/>
          <w:sz w:val="20"/>
          <w:szCs w:val="20"/>
          <w:lang w:val="en-GB"/>
        </w:rPr>
        <w:t xml:space="preserve">• 20 to 50mg of </w:t>
      </w:r>
      <w:r w:rsidR="0090006D" w:rsidRPr="0098280F">
        <w:rPr>
          <w:rFonts w:eastAsia="TimesNewRomanPSMT"/>
          <w:sz w:val="20"/>
          <w:szCs w:val="20"/>
          <w:lang w:val="en-GB"/>
        </w:rPr>
        <w:t>ceftriaxone</w:t>
      </w:r>
      <w:r w:rsidRPr="0098280F">
        <w:rPr>
          <w:rFonts w:eastAsia="TimesNewRomanPSMT"/>
          <w:sz w:val="20"/>
          <w:szCs w:val="20"/>
          <w:lang w:val="en-GB"/>
        </w:rPr>
        <w:t xml:space="preserve"> per kilogramme of the child’s body weight, once a day, depending on the severity and type of infection. • The maximum daily dose should not exceed 50mg per kilogramme of the child’s body weight. </w:t>
      </w:r>
      <w:r w:rsidRPr="0098280F">
        <w:rPr>
          <w:rFonts w:eastAsia="TimesNewRomanPSMT"/>
          <w:b/>
          <w:bCs/>
          <w:sz w:val="20"/>
          <w:szCs w:val="20"/>
          <w:lang w:val="en-GB"/>
        </w:rPr>
        <w:t xml:space="preserve">Patients with liver and kidney </w:t>
      </w:r>
      <w:r w:rsidR="00811A67" w:rsidRPr="0098280F">
        <w:rPr>
          <w:rFonts w:eastAsia="TimesNewRomanPSMT"/>
          <w:b/>
          <w:bCs/>
          <w:sz w:val="20"/>
          <w:szCs w:val="20"/>
          <w:lang w:val="en-GB"/>
        </w:rPr>
        <w:t>problems</w:t>
      </w:r>
      <w:r w:rsidRPr="0098280F">
        <w:rPr>
          <w:rFonts w:eastAsia="TimesNewRomanPSMT"/>
          <w:b/>
          <w:bCs/>
          <w:sz w:val="20"/>
          <w:szCs w:val="20"/>
          <w:lang w:val="en-GB"/>
        </w:rPr>
        <w:t xml:space="preserve"> </w:t>
      </w:r>
      <w:r w:rsidR="00811A67" w:rsidRPr="0098280F">
        <w:rPr>
          <w:rFonts w:eastAsia="TimesNewRomanPSMT"/>
          <w:sz w:val="20"/>
          <w:szCs w:val="20"/>
          <w:lang w:val="en-GB"/>
        </w:rPr>
        <w:t xml:space="preserve">• </w:t>
      </w:r>
      <w:proofErr w:type="gramStart"/>
      <w:r w:rsidRPr="0098280F">
        <w:rPr>
          <w:rFonts w:eastAsia="TimesNewRomanPSMT"/>
          <w:sz w:val="20"/>
          <w:szCs w:val="20"/>
          <w:lang w:val="en-GB"/>
        </w:rPr>
        <w:t>You</w:t>
      </w:r>
      <w:proofErr w:type="gramEnd"/>
      <w:r w:rsidRPr="0098280F">
        <w:rPr>
          <w:rFonts w:eastAsia="TimesNewRomanPSMT"/>
          <w:sz w:val="20"/>
          <w:szCs w:val="20"/>
          <w:lang w:val="en-GB"/>
        </w:rPr>
        <w:t xml:space="preserve"> may be prescribed a dosage that is different from the usual posology. Depending on how severe your liver and kidney problems are, your doctor will decide what dose of </w:t>
      </w:r>
      <w:proofErr w:type="spellStart"/>
      <w:r w:rsidRPr="0098280F">
        <w:rPr>
          <w:rFonts w:eastAsia="TimesNewRomanPSMT"/>
          <w:sz w:val="20"/>
          <w:szCs w:val="20"/>
          <w:lang w:val="en-GB"/>
        </w:rPr>
        <w:t>Cetafor</w:t>
      </w:r>
      <w:proofErr w:type="spellEnd"/>
      <w:r w:rsidR="00A83667" w:rsidRPr="0098280F">
        <w:rPr>
          <w:rFonts w:eastAsia="TimesNewRomanPSMT"/>
          <w:sz w:val="20"/>
          <w:szCs w:val="20"/>
          <w:vertAlign w:val="superscript"/>
          <w:lang w:val="en-GB"/>
        </w:rPr>
        <w:t>®</w:t>
      </w:r>
      <w:r w:rsidR="00B445DA" w:rsidRPr="0098280F">
        <w:rPr>
          <w:rFonts w:eastAsia="TimesNewRomanPSMT"/>
          <w:sz w:val="20"/>
          <w:szCs w:val="20"/>
          <w:lang w:val="en-GB"/>
        </w:rPr>
        <w:t>(ceftriaxone)</w:t>
      </w:r>
      <w:r w:rsidRPr="0098280F">
        <w:rPr>
          <w:rFonts w:eastAsia="TimesNewRomanPSMT"/>
          <w:sz w:val="20"/>
          <w:szCs w:val="20"/>
          <w:lang w:val="en-GB"/>
        </w:rPr>
        <w:t xml:space="preserve"> is best for you and will closely monitor your health condition. </w:t>
      </w:r>
    </w:p>
    <w:p w14:paraId="27F17489" w14:textId="0FA9C8F2" w:rsidR="00133DBE" w:rsidRPr="0098280F" w:rsidRDefault="000052D2" w:rsidP="00133DBE">
      <w:pPr>
        <w:autoSpaceDE w:val="0"/>
        <w:autoSpaceDN w:val="0"/>
        <w:adjustRightInd w:val="0"/>
        <w:spacing w:after="0" w:line="276" w:lineRule="auto"/>
        <w:rPr>
          <w:rFonts w:cs="TimesNewRomanPS-BoldMT"/>
          <w:b/>
          <w:bCs/>
          <w:sz w:val="20"/>
          <w:szCs w:val="20"/>
          <w:lang w:val="en-GB"/>
        </w:rPr>
      </w:pPr>
      <w:r w:rsidRPr="0098280F">
        <w:rPr>
          <w:rFonts w:cs="TimesNewRomanPS-BoldMT"/>
          <w:b/>
          <w:bCs/>
          <w:sz w:val="20"/>
          <w:szCs w:val="20"/>
          <w:lang w:val="en-GB"/>
        </w:rPr>
        <w:t>4</w:t>
      </w:r>
      <w:r w:rsidR="00133DBE" w:rsidRPr="0098280F">
        <w:rPr>
          <w:rFonts w:cs="TimesNewRomanPS-BoldMT"/>
          <w:b/>
          <w:bCs/>
          <w:sz w:val="20"/>
          <w:szCs w:val="20"/>
          <w:lang w:val="en-GB"/>
        </w:rPr>
        <w:t xml:space="preserve">. Possible side effects </w:t>
      </w:r>
    </w:p>
    <w:p w14:paraId="7510690F" w14:textId="72C7222C" w:rsidR="00133DBE" w:rsidRPr="0098280F" w:rsidRDefault="00133DBE" w:rsidP="00F936FF">
      <w:pPr>
        <w:autoSpaceDE w:val="0"/>
        <w:autoSpaceDN w:val="0"/>
        <w:adjustRightInd w:val="0"/>
        <w:spacing w:after="0" w:line="276" w:lineRule="auto"/>
        <w:rPr>
          <w:sz w:val="20"/>
          <w:szCs w:val="20"/>
          <w:lang w:val="en-GB"/>
        </w:rPr>
      </w:pPr>
      <w:r w:rsidRPr="0098280F">
        <w:rPr>
          <w:sz w:val="20"/>
          <w:szCs w:val="20"/>
          <w:lang w:val="en-GB"/>
        </w:rPr>
        <w:t xml:space="preserve">Like all medicines, this medicine can cause side effects, although not everybody gets them. </w:t>
      </w:r>
      <w:r w:rsidRPr="0098280F">
        <w:rPr>
          <w:b/>
          <w:bCs/>
          <w:sz w:val="20"/>
          <w:szCs w:val="20"/>
          <w:lang w:val="en-GB"/>
        </w:rPr>
        <w:t>You must tell your doctor immediately if you have:</w:t>
      </w:r>
      <w:r w:rsidRPr="0098280F">
        <w:rPr>
          <w:sz w:val="20"/>
          <w:szCs w:val="20"/>
          <w:lang w:val="en-GB"/>
        </w:rPr>
        <w:t xml:space="preserve"> </w:t>
      </w:r>
      <w:r w:rsidR="006419B4" w:rsidRPr="0098280F">
        <w:rPr>
          <w:rFonts w:eastAsia="TimesNewRomanPSMT"/>
          <w:sz w:val="20"/>
          <w:szCs w:val="20"/>
          <w:lang w:val="en-GB"/>
        </w:rPr>
        <w:t xml:space="preserve">• </w:t>
      </w:r>
      <w:r w:rsidRPr="0098280F">
        <w:rPr>
          <w:sz w:val="20"/>
          <w:szCs w:val="20"/>
          <w:lang w:val="en-GB"/>
        </w:rPr>
        <w:t xml:space="preserve"> Sudden swelling of the face, throat, lips or mouth, likely to cause difficulty breathing or swallowing, or sudden swelling of the hands, feet and ankles (these symptoms may be signs or a severe allergic reaction).</w:t>
      </w:r>
      <w:r w:rsidR="006419B4" w:rsidRPr="0098280F">
        <w:rPr>
          <w:rFonts w:eastAsia="TimesNewRomanPSMT"/>
          <w:sz w:val="20"/>
          <w:szCs w:val="20"/>
          <w:lang w:val="en-GB"/>
        </w:rPr>
        <w:t xml:space="preserve"> </w:t>
      </w:r>
      <w:proofErr w:type="gramStart"/>
      <w:r w:rsidR="006419B4" w:rsidRPr="0098280F">
        <w:rPr>
          <w:rFonts w:eastAsia="TimesNewRomanPSMT"/>
          <w:sz w:val="20"/>
          <w:szCs w:val="20"/>
          <w:lang w:val="en-GB"/>
        </w:rPr>
        <w:t xml:space="preserve">• </w:t>
      </w:r>
      <w:r w:rsidRPr="0098280F">
        <w:rPr>
          <w:sz w:val="20"/>
          <w:szCs w:val="20"/>
          <w:lang w:val="en-GB"/>
        </w:rPr>
        <w:t xml:space="preserve"> Fast</w:t>
      </w:r>
      <w:proofErr w:type="gramEnd"/>
      <w:r w:rsidRPr="0098280F">
        <w:rPr>
          <w:sz w:val="20"/>
          <w:szCs w:val="20"/>
          <w:lang w:val="en-GB"/>
        </w:rPr>
        <w:t xml:space="preserve">-developing, severe skin rash, with blisters or peeling of the skin, and possibly blisters in the mouth (Stevens-Johnson syndrome and toxic epidermal necrolysis). </w:t>
      </w:r>
      <w:r w:rsidR="006419B4" w:rsidRPr="0098280F">
        <w:rPr>
          <w:rFonts w:eastAsia="TimesNewRomanPSMT"/>
          <w:sz w:val="20"/>
          <w:szCs w:val="20"/>
          <w:lang w:val="en-GB"/>
        </w:rPr>
        <w:t xml:space="preserve">• </w:t>
      </w:r>
      <w:r w:rsidRPr="0098280F">
        <w:rPr>
          <w:sz w:val="20"/>
          <w:szCs w:val="20"/>
          <w:lang w:val="en-GB"/>
        </w:rPr>
        <w:t xml:space="preserve"> A combination of any of the following symptoms: extensive skin rash, high body temperature, fever, high liver enzymes, blood abnormalities (eosinophilia), hypertrophy of the lymph nodes and other organs (Drug Reaction with Eosinophilia and Systemic Symptoms (DRESS) and </w:t>
      </w:r>
      <w:proofErr w:type="spellStart"/>
      <w:r w:rsidRPr="0098280F">
        <w:rPr>
          <w:sz w:val="20"/>
          <w:szCs w:val="20"/>
          <w:lang w:val="en-GB"/>
        </w:rPr>
        <w:t>Jarisch-Herxheimer</w:t>
      </w:r>
      <w:proofErr w:type="spellEnd"/>
      <w:r w:rsidRPr="0098280F">
        <w:rPr>
          <w:sz w:val="20"/>
          <w:szCs w:val="20"/>
          <w:lang w:val="en-GB"/>
        </w:rPr>
        <w:t xml:space="preserve"> reaction)</w:t>
      </w:r>
      <w:r w:rsidR="006419B4" w:rsidRPr="0098280F">
        <w:rPr>
          <w:rFonts w:eastAsia="TimesNewRomanPSMT"/>
          <w:sz w:val="20"/>
          <w:szCs w:val="20"/>
          <w:lang w:val="en-GB"/>
        </w:rPr>
        <w:t xml:space="preserve"> • </w:t>
      </w:r>
      <w:r w:rsidRPr="0098280F">
        <w:rPr>
          <w:sz w:val="20"/>
          <w:szCs w:val="20"/>
          <w:lang w:val="en-GB"/>
        </w:rPr>
        <w:t xml:space="preserve"> Inflammation of the large intestine (pseudomembranous colitis) may occur, particularly after prolonged antibiotic therapy. Signs include diarrhoea, generally blood and mucus, stomach pain and fever. Pseudomembranous colitis can vary from mild to life-threatening. Therefore, it is important to consider this diagnosis in patients who have diarrhoea during or after ceftriaxone administration. Discontinuation of the ceftriaxone treatment and administration of a specific treatment for </w:t>
      </w:r>
      <w:r w:rsidRPr="0098280F">
        <w:rPr>
          <w:i/>
          <w:iCs/>
          <w:sz w:val="20"/>
          <w:szCs w:val="20"/>
          <w:lang w:val="en-GB"/>
        </w:rPr>
        <w:t xml:space="preserve">Clostridium difficile </w:t>
      </w:r>
      <w:r w:rsidRPr="0098280F">
        <w:rPr>
          <w:sz w:val="20"/>
          <w:szCs w:val="20"/>
          <w:lang w:val="en-GB"/>
        </w:rPr>
        <w:t xml:space="preserve">should be considered. Peristalsis-inhibiting medicines should not be administered. </w:t>
      </w:r>
      <w:r w:rsidR="00EC121D" w:rsidRPr="0098280F">
        <w:rPr>
          <w:rFonts w:eastAsia="TimesNewRomanPSMT"/>
          <w:sz w:val="20"/>
          <w:szCs w:val="20"/>
          <w:lang w:val="en-GB"/>
        </w:rPr>
        <w:t xml:space="preserve">• </w:t>
      </w:r>
      <w:r w:rsidRPr="0098280F">
        <w:rPr>
          <w:sz w:val="20"/>
          <w:szCs w:val="20"/>
          <w:lang w:val="en-GB"/>
        </w:rPr>
        <w:t xml:space="preserve">Abnormalities in the white or red blood cells, blood coagulation and other blood tests are common (up to 1 person in 10) to uncommon (may affect up to 1 person in 100). </w:t>
      </w:r>
      <w:r w:rsidRPr="0098280F">
        <w:rPr>
          <w:b/>
          <w:bCs/>
          <w:sz w:val="20"/>
          <w:szCs w:val="20"/>
          <w:lang w:val="en-GB"/>
        </w:rPr>
        <w:t>If you get any side effects not listed in this leaflet, talk to your doctor, pharmacist or healthcare professional.</w:t>
      </w:r>
    </w:p>
    <w:p w14:paraId="243313DD" w14:textId="6179C04D" w:rsidR="00804E3B" w:rsidRPr="0098280F" w:rsidRDefault="001E7888" w:rsidP="008B74EA">
      <w:pPr>
        <w:autoSpaceDE w:val="0"/>
        <w:autoSpaceDN w:val="0"/>
        <w:adjustRightInd w:val="0"/>
        <w:spacing w:after="0" w:line="276" w:lineRule="auto"/>
        <w:rPr>
          <w:rFonts w:eastAsia="TimesNewRomanPSMT" w:cs="TimesNewRomanPS-BoldMT"/>
          <w:b/>
          <w:bCs/>
          <w:sz w:val="20"/>
          <w:szCs w:val="20"/>
          <w:lang w:val="en-GB"/>
        </w:rPr>
      </w:pPr>
      <w:r w:rsidRPr="0098280F">
        <w:rPr>
          <w:rFonts w:eastAsia="TimesNewRomanPSMT" w:cs="TimesNewRomanPS-BoldMT"/>
          <w:b/>
          <w:bCs/>
          <w:sz w:val="20"/>
          <w:szCs w:val="20"/>
          <w:lang w:val="en-GB"/>
        </w:rPr>
        <w:t>5. How to store Cetafor®</w:t>
      </w:r>
      <w:r w:rsidR="00B46F1B">
        <w:rPr>
          <w:rFonts w:eastAsia="TimesNewRomanPSMT" w:cs="TimesNewRomanPS-BoldMT"/>
          <w:b/>
          <w:bCs/>
          <w:sz w:val="20"/>
          <w:szCs w:val="20"/>
          <w:lang w:val="en-GB"/>
        </w:rPr>
        <w:t>2000 IV</w:t>
      </w:r>
    </w:p>
    <w:p w14:paraId="6BC25A69" w14:textId="413384A5" w:rsidR="00804E3B" w:rsidRPr="0098280F" w:rsidRDefault="00804E3B" w:rsidP="008B74EA">
      <w:pPr>
        <w:autoSpaceDE w:val="0"/>
        <w:autoSpaceDN w:val="0"/>
        <w:adjustRightInd w:val="0"/>
        <w:spacing w:after="0" w:line="276" w:lineRule="auto"/>
        <w:rPr>
          <w:rFonts w:eastAsia="TimesNewRomanPSMT" w:cs="TimesNewRomanPS-BoldMT"/>
          <w:sz w:val="20"/>
          <w:szCs w:val="20"/>
          <w:lang w:val="en-GB"/>
        </w:rPr>
      </w:pPr>
      <w:r w:rsidRPr="0098280F">
        <w:rPr>
          <w:rFonts w:eastAsia="TimesNewRomanPSMT" w:cs="TimesNewRomanPS-BoldMT"/>
          <w:sz w:val="20"/>
          <w:szCs w:val="20"/>
          <w:lang w:val="en-GB"/>
        </w:rPr>
        <w:t>Keep out of the reach and sight of children. Store</w:t>
      </w:r>
      <w:r w:rsidRPr="0098280F">
        <w:rPr>
          <w:rFonts w:eastAsia="TimesNewRomanPSMT" w:cs="TimesNewRomanPS-BoldMT"/>
          <w:b/>
          <w:bCs/>
          <w:sz w:val="20"/>
          <w:szCs w:val="20"/>
          <w:lang w:val="en-GB"/>
        </w:rPr>
        <w:t xml:space="preserve"> </w:t>
      </w:r>
      <w:r w:rsidRPr="0098280F">
        <w:rPr>
          <w:rFonts w:eastAsia="TimesNewRomanPSMT" w:cs="TimesNewRomanPS-BoldMT"/>
          <w:sz w:val="20"/>
          <w:szCs w:val="20"/>
          <w:lang w:val="en-GB"/>
        </w:rPr>
        <w:t>Cetafor®</w:t>
      </w:r>
      <w:r w:rsidR="00B46F1B">
        <w:rPr>
          <w:rFonts w:eastAsia="TimesNewRomanPSMT" w:cs="TimesNewRomanPS-BoldMT"/>
          <w:sz w:val="20"/>
          <w:szCs w:val="20"/>
          <w:lang w:val="en-GB"/>
        </w:rPr>
        <w:t>2000 IV</w:t>
      </w:r>
      <w:r w:rsidRPr="0098280F">
        <w:rPr>
          <w:rFonts w:eastAsia="TimesNewRomanPSMT" w:cs="TimesNewRomanPS-BoldMT"/>
          <w:sz w:val="20"/>
          <w:szCs w:val="20"/>
          <w:lang w:val="en-GB"/>
        </w:rPr>
        <w:t xml:space="preserve"> below 30°C, in the original package, protected from light. Do not use after the expiry date, stated on the packaging (Exp.)</w:t>
      </w:r>
      <w:r w:rsidR="00EE6EFF" w:rsidRPr="0098280F">
        <w:rPr>
          <w:rFonts w:eastAsia="TimesNewRomanPSMT" w:cs="TimesNewRomanPS-BoldMT"/>
          <w:sz w:val="20"/>
          <w:szCs w:val="20"/>
          <w:lang w:val="en-GB"/>
        </w:rPr>
        <w:t>.</w:t>
      </w:r>
      <w:r w:rsidR="00F61411" w:rsidRPr="0098280F">
        <w:rPr>
          <w:rFonts w:eastAsia="TimesNewRomanPSMT" w:cs="TimesNewRomanPS-BoldMT"/>
          <w:sz w:val="20"/>
          <w:szCs w:val="20"/>
          <w:lang w:val="en-GB"/>
        </w:rPr>
        <w:t xml:space="preserve">The expiry date refers to the last day of that </w:t>
      </w:r>
      <w:proofErr w:type="gramStart"/>
      <w:r w:rsidR="00F61411" w:rsidRPr="0098280F">
        <w:rPr>
          <w:rFonts w:eastAsia="TimesNewRomanPSMT" w:cs="TimesNewRomanPS-BoldMT"/>
          <w:sz w:val="20"/>
          <w:szCs w:val="20"/>
          <w:lang w:val="en-GB"/>
        </w:rPr>
        <w:t>month.</w:t>
      </w:r>
      <w:proofErr w:type="gramEnd"/>
    </w:p>
    <w:p w14:paraId="59C48DC2" w14:textId="1724E3DF" w:rsidR="008B74EA" w:rsidRPr="0098280F" w:rsidRDefault="000148DA" w:rsidP="008B74EA">
      <w:pPr>
        <w:autoSpaceDE w:val="0"/>
        <w:autoSpaceDN w:val="0"/>
        <w:adjustRightInd w:val="0"/>
        <w:spacing w:after="0" w:line="276" w:lineRule="auto"/>
        <w:rPr>
          <w:rFonts w:eastAsia="TimesNewRomanPSMT" w:cs="TimesNewRomanPS-BoldMT"/>
          <w:b/>
          <w:bCs/>
          <w:sz w:val="20"/>
          <w:szCs w:val="20"/>
          <w:lang w:val="en-GB"/>
        </w:rPr>
      </w:pPr>
      <w:r w:rsidRPr="0098280F">
        <w:rPr>
          <w:rFonts w:eastAsia="TimesNewRomanPSMT" w:cs="TimesNewRomanPS-BoldMT"/>
          <w:b/>
          <w:bCs/>
          <w:sz w:val="20"/>
          <w:szCs w:val="20"/>
          <w:lang w:val="en-GB"/>
        </w:rPr>
        <w:t>6</w:t>
      </w:r>
      <w:r w:rsidR="008B74EA" w:rsidRPr="0098280F">
        <w:rPr>
          <w:rFonts w:eastAsia="TimesNewRomanPSMT" w:cs="TimesNewRomanPS-BoldMT"/>
          <w:b/>
          <w:bCs/>
          <w:sz w:val="20"/>
          <w:szCs w:val="20"/>
          <w:lang w:val="en-GB"/>
        </w:rPr>
        <w:t xml:space="preserve">. </w:t>
      </w:r>
      <w:r w:rsidR="00F61411" w:rsidRPr="0098280F">
        <w:rPr>
          <w:rFonts w:eastAsia="TimesNewRomanPSMT" w:cs="TimesNewRomanPS-BoldMT"/>
          <w:b/>
          <w:bCs/>
          <w:sz w:val="20"/>
          <w:szCs w:val="20"/>
          <w:lang w:val="en-GB"/>
        </w:rPr>
        <w:t>Contents of the vial and further information</w:t>
      </w:r>
    </w:p>
    <w:p w14:paraId="2A8C64D8" w14:textId="3E6AB948" w:rsidR="00AE55BB" w:rsidRPr="0098280F" w:rsidRDefault="002D7315" w:rsidP="008B74EA">
      <w:pPr>
        <w:autoSpaceDE w:val="0"/>
        <w:autoSpaceDN w:val="0"/>
        <w:adjustRightInd w:val="0"/>
        <w:spacing w:after="0" w:line="276" w:lineRule="auto"/>
        <w:rPr>
          <w:rFonts w:eastAsia="TimesNewRomanPSMT" w:cs="TimesNewRomanPS-BoldMT"/>
          <w:sz w:val="20"/>
          <w:szCs w:val="20"/>
          <w:lang w:val="en-GB"/>
        </w:rPr>
      </w:pPr>
      <w:r w:rsidRPr="0098280F">
        <w:rPr>
          <w:rFonts w:eastAsia="TimesNewRomanPSMT" w:cs="TimesNewRomanPS-BoldMT"/>
          <w:b/>
          <w:bCs/>
          <w:sz w:val="20"/>
          <w:szCs w:val="20"/>
          <w:lang w:val="en-GB"/>
        </w:rPr>
        <w:t xml:space="preserve">The vial </w:t>
      </w:r>
      <w:proofErr w:type="spellStart"/>
      <w:r w:rsidR="001E7888" w:rsidRPr="0098280F">
        <w:rPr>
          <w:rFonts w:eastAsia="TimesNewRomanPSMT" w:cs="TimesNewRomanPS-BoldMT"/>
          <w:b/>
          <w:bCs/>
          <w:sz w:val="20"/>
          <w:szCs w:val="20"/>
          <w:lang w:val="en-GB"/>
        </w:rPr>
        <w:t>Cetafor</w:t>
      </w:r>
      <w:proofErr w:type="spellEnd"/>
      <w:r w:rsidR="001E7888" w:rsidRPr="0098280F">
        <w:rPr>
          <w:rFonts w:eastAsia="TimesNewRomanPSMT" w:cs="TimesNewRomanPS-BoldMT"/>
          <w:b/>
          <w:bCs/>
          <w:sz w:val="20"/>
          <w:szCs w:val="20"/>
          <w:lang w:val="en-GB"/>
        </w:rPr>
        <w:t xml:space="preserve">® </w:t>
      </w:r>
      <w:r w:rsidR="00B46F1B">
        <w:rPr>
          <w:rFonts w:eastAsia="TimesNewRomanPSMT" w:cs="TimesNewRomanPS-BoldMT"/>
          <w:b/>
          <w:bCs/>
          <w:sz w:val="20"/>
          <w:szCs w:val="20"/>
          <w:lang w:val="en-GB"/>
        </w:rPr>
        <w:t>2000 IV</w:t>
      </w:r>
      <w:r w:rsidR="00AE55BB" w:rsidRPr="0098280F">
        <w:rPr>
          <w:rFonts w:eastAsia="TimesNewRomanPSMT" w:cs="TimesNewRomanPS-BoldMT"/>
          <w:b/>
          <w:bCs/>
          <w:sz w:val="20"/>
          <w:szCs w:val="20"/>
          <w:lang w:val="en-GB"/>
        </w:rPr>
        <w:t xml:space="preserve"> contains </w:t>
      </w:r>
      <w:r w:rsidR="00AE55BB" w:rsidRPr="0098280F">
        <w:rPr>
          <w:rFonts w:eastAsia="TimesNewRomanPSMT" w:cs="TimesNewRomanPS-BoldMT"/>
          <w:sz w:val="20"/>
          <w:szCs w:val="20"/>
          <w:lang w:val="en-GB"/>
        </w:rPr>
        <w:t>ce</w:t>
      </w:r>
      <w:r w:rsidR="001E7888" w:rsidRPr="0098280F">
        <w:rPr>
          <w:rFonts w:eastAsia="TimesNewRomanPSMT" w:cs="TimesNewRomanPS-BoldMT"/>
          <w:sz w:val="20"/>
          <w:szCs w:val="20"/>
          <w:lang w:val="en-GB"/>
        </w:rPr>
        <w:t>ftriaxone sodium equivalent to 2</w:t>
      </w:r>
      <w:r w:rsidR="00AE55BB" w:rsidRPr="0098280F">
        <w:rPr>
          <w:rFonts w:eastAsia="TimesNewRomanPSMT" w:cs="TimesNewRomanPS-BoldMT"/>
          <w:sz w:val="20"/>
          <w:szCs w:val="20"/>
          <w:lang w:val="en-GB"/>
        </w:rPr>
        <w:t xml:space="preserve">000 mg </w:t>
      </w:r>
      <w:r w:rsidRPr="0098280F">
        <w:rPr>
          <w:rFonts w:eastAsia="TimesNewRomanPSMT" w:cs="TimesNewRomanPS-BoldMT"/>
          <w:sz w:val="20"/>
          <w:szCs w:val="20"/>
          <w:lang w:val="en-GB"/>
        </w:rPr>
        <w:t xml:space="preserve">ceftriaxone, a </w:t>
      </w:r>
      <w:r w:rsidR="00AE55BB" w:rsidRPr="0098280F">
        <w:rPr>
          <w:rFonts w:eastAsia="TimesNewRomanPSMT" w:cs="TimesNewRomanPS-BoldMT"/>
          <w:sz w:val="20"/>
          <w:szCs w:val="20"/>
          <w:lang w:val="en-GB"/>
        </w:rPr>
        <w:t xml:space="preserve">sterile white to </w:t>
      </w:r>
      <w:r w:rsidR="001E7888" w:rsidRPr="0098280F">
        <w:rPr>
          <w:rFonts w:eastAsia="TimesNewRomanPSMT" w:cs="TimesNewRomanPS-BoldMT"/>
          <w:sz w:val="20"/>
          <w:szCs w:val="20"/>
          <w:lang w:val="en-GB"/>
        </w:rPr>
        <w:t>pale yellow or cream coloured crystalline powder</w:t>
      </w:r>
      <w:r w:rsidR="00AE55BB" w:rsidRPr="0098280F">
        <w:rPr>
          <w:rFonts w:eastAsia="TimesNewRomanPSMT" w:cs="TimesNewRomanPS-BoldMT"/>
          <w:sz w:val="20"/>
          <w:szCs w:val="20"/>
          <w:lang w:val="en-GB"/>
        </w:rPr>
        <w:t>.</w:t>
      </w:r>
      <w:r w:rsidR="00AE55BB" w:rsidRPr="0098280F">
        <w:rPr>
          <w:sz w:val="20"/>
          <w:szCs w:val="20"/>
          <w:lang w:val="en-GB"/>
        </w:rPr>
        <w:t xml:space="preserve"> </w:t>
      </w:r>
      <w:r w:rsidR="00AE55BB" w:rsidRPr="0098280F">
        <w:rPr>
          <w:rFonts w:eastAsia="TimesNewRomanPSMT"/>
          <w:sz w:val="20"/>
          <w:szCs w:val="20"/>
          <w:lang w:val="en-GB"/>
        </w:rPr>
        <w:t>•</w:t>
      </w:r>
      <w:r w:rsidR="001E7888" w:rsidRPr="0098280F">
        <w:rPr>
          <w:rFonts w:eastAsia="TimesNewRomanPSMT"/>
          <w:sz w:val="20"/>
          <w:szCs w:val="20"/>
          <w:lang w:val="en-GB"/>
        </w:rPr>
        <w:t>contains approximately 166 mg (7.2</w:t>
      </w:r>
      <w:r w:rsidR="00AE55BB" w:rsidRPr="0098280F">
        <w:rPr>
          <w:rFonts w:eastAsia="TimesNewRomanPSMT"/>
          <w:sz w:val="20"/>
          <w:szCs w:val="20"/>
          <w:lang w:val="en-GB"/>
        </w:rPr>
        <w:t xml:space="preserve"> mmol) of sodium.</w:t>
      </w:r>
    </w:p>
    <w:p w14:paraId="39284C10" w14:textId="7EDC135A" w:rsidR="00133DBE" w:rsidRPr="0098280F" w:rsidRDefault="00650578" w:rsidP="000148DA">
      <w:pPr>
        <w:autoSpaceDE w:val="0"/>
        <w:autoSpaceDN w:val="0"/>
        <w:adjustRightInd w:val="0"/>
        <w:spacing w:after="0" w:line="276" w:lineRule="auto"/>
        <w:rPr>
          <w:rFonts w:eastAsia="TimesNewRomanPSMT" w:cs="TimesNewRomanPS-BoldMT"/>
          <w:b/>
          <w:bCs/>
          <w:sz w:val="20"/>
          <w:szCs w:val="20"/>
          <w:lang w:val="en-GB"/>
        </w:rPr>
      </w:pPr>
      <w:proofErr w:type="spellStart"/>
      <w:r w:rsidRPr="0098280F">
        <w:rPr>
          <w:rFonts w:eastAsia="TimesNewRomanPSMT" w:cs="TimesNewRomanPS-BoldMT"/>
          <w:b/>
          <w:bCs/>
          <w:sz w:val="20"/>
          <w:szCs w:val="20"/>
          <w:lang w:val="en-GB"/>
        </w:rPr>
        <w:t>Cetafor</w:t>
      </w:r>
      <w:proofErr w:type="spellEnd"/>
      <w:r w:rsidRPr="0098280F">
        <w:rPr>
          <w:rFonts w:eastAsia="TimesNewRomanPSMT" w:cs="TimesNewRomanPS-BoldMT"/>
          <w:b/>
          <w:bCs/>
          <w:sz w:val="20"/>
          <w:szCs w:val="20"/>
          <w:lang w:val="en-GB"/>
        </w:rPr>
        <w:t xml:space="preserve">® </w:t>
      </w:r>
      <w:r w:rsidR="00B46F1B">
        <w:rPr>
          <w:rFonts w:eastAsia="TimesNewRomanPSMT" w:cs="TimesNewRomanPS-BoldMT"/>
          <w:b/>
          <w:bCs/>
          <w:sz w:val="20"/>
          <w:szCs w:val="20"/>
          <w:lang w:val="en-GB"/>
        </w:rPr>
        <w:t>2000 IV</w:t>
      </w:r>
      <w:r w:rsidRPr="0098280F">
        <w:rPr>
          <w:rFonts w:eastAsia="TimesNewRomanPSMT" w:cs="TimesNewRomanPS-BoldMT"/>
          <w:b/>
          <w:bCs/>
          <w:sz w:val="20"/>
          <w:szCs w:val="20"/>
          <w:lang w:val="en-GB"/>
        </w:rPr>
        <w:t xml:space="preserve"> is </w:t>
      </w:r>
      <w:r w:rsidRPr="0098280F">
        <w:rPr>
          <w:rFonts w:eastAsia="TimesNewRomanPSMT" w:cs="TimesNewRomanPS-BoldMT"/>
          <w:sz w:val="20"/>
          <w:szCs w:val="20"/>
          <w:lang w:val="en-GB"/>
        </w:rPr>
        <w:t>a</w:t>
      </w:r>
      <w:r w:rsidR="008B74EA" w:rsidRPr="0098280F">
        <w:rPr>
          <w:rFonts w:eastAsia="TimesNewRomanPSMT" w:cs="TimesNewRomanPS-BoldMT"/>
          <w:sz w:val="20"/>
          <w:szCs w:val="20"/>
          <w:lang w:val="en-GB"/>
        </w:rPr>
        <w:t xml:space="preserve"> prescription </w:t>
      </w:r>
      <w:r w:rsidRPr="0098280F">
        <w:rPr>
          <w:rFonts w:eastAsia="TimesNewRomanPSMT" w:cs="TimesNewRomanPS-BoldMT"/>
          <w:sz w:val="20"/>
          <w:szCs w:val="20"/>
          <w:lang w:val="en-GB"/>
        </w:rPr>
        <w:t>medicine</w:t>
      </w:r>
      <w:r w:rsidRPr="0098280F">
        <w:rPr>
          <w:rFonts w:eastAsia="TimesNewRomanPSMT" w:cs="TimesNewRomanPS-BoldMT"/>
          <w:b/>
          <w:bCs/>
          <w:sz w:val="20"/>
          <w:szCs w:val="20"/>
          <w:lang w:val="en-GB"/>
        </w:rPr>
        <w:t>. M</w:t>
      </w:r>
      <w:r w:rsidR="008B74EA" w:rsidRPr="0098280F">
        <w:rPr>
          <w:rFonts w:eastAsia="TimesNewRomanPSMT" w:cs="TimesNewRomanPS-BoldMT"/>
          <w:b/>
          <w:bCs/>
          <w:sz w:val="20"/>
          <w:szCs w:val="20"/>
          <w:lang w:val="en-GB"/>
        </w:rPr>
        <w:t xml:space="preserve">anufacturer: </w:t>
      </w:r>
      <w:r w:rsidR="0095248F" w:rsidRPr="0098280F">
        <w:rPr>
          <w:rFonts w:eastAsia="TimesNewRomanPSMT" w:cs="TimesNewRomanPS-BoldMT"/>
          <w:sz w:val="20"/>
          <w:szCs w:val="20"/>
          <w:lang w:val="en-GB"/>
        </w:rPr>
        <w:t xml:space="preserve">Venus Remedies Ltd – Unit II, Hill Top Industrial Estate, </w:t>
      </w:r>
      <w:proofErr w:type="spellStart"/>
      <w:r w:rsidR="0095248F" w:rsidRPr="0098280F">
        <w:rPr>
          <w:rFonts w:eastAsia="TimesNewRomanPSMT" w:cs="TimesNewRomanPS-BoldMT"/>
          <w:sz w:val="20"/>
          <w:szCs w:val="20"/>
          <w:lang w:val="en-GB"/>
        </w:rPr>
        <w:t>Jharmajri</w:t>
      </w:r>
      <w:proofErr w:type="spellEnd"/>
      <w:r w:rsidR="0095248F" w:rsidRPr="0098280F">
        <w:rPr>
          <w:rFonts w:eastAsia="TimesNewRomanPSMT" w:cs="TimesNewRomanPS-BoldMT"/>
          <w:sz w:val="20"/>
          <w:szCs w:val="20"/>
          <w:lang w:val="en-GB"/>
        </w:rPr>
        <w:t>, Phase I (</w:t>
      </w:r>
      <w:proofErr w:type="spellStart"/>
      <w:r w:rsidR="0095248F" w:rsidRPr="0098280F">
        <w:rPr>
          <w:rFonts w:eastAsia="TimesNewRomanPSMT" w:cs="TimesNewRomanPS-BoldMT"/>
          <w:sz w:val="20"/>
          <w:szCs w:val="20"/>
          <w:lang w:val="en-GB"/>
        </w:rPr>
        <w:t>Extn</w:t>
      </w:r>
      <w:proofErr w:type="spellEnd"/>
      <w:r w:rsidR="0095248F" w:rsidRPr="0098280F">
        <w:rPr>
          <w:rFonts w:eastAsia="TimesNewRomanPSMT" w:cs="TimesNewRomanPS-BoldMT"/>
          <w:sz w:val="20"/>
          <w:szCs w:val="20"/>
          <w:lang w:val="en-GB"/>
        </w:rPr>
        <w:t xml:space="preserve">), </w:t>
      </w:r>
      <w:proofErr w:type="spellStart"/>
      <w:r w:rsidR="0095248F" w:rsidRPr="0098280F">
        <w:rPr>
          <w:rFonts w:eastAsia="TimesNewRomanPSMT" w:cs="TimesNewRomanPS-BoldMT"/>
          <w:sz w:val="20"/>
          <w:szCs w:val="20"/>
          <w:lang w:val="en-GB"/>
        </w:rPr>
        <w:t>Bhatoli</w:t>
      </w:r>
      <w:proofErr w:type="spellEnd"/>
      <w:r w:rsidR="0095248F" w:rsidRPr="0098280F">
        <w:rPr>
          <w:rFonts w:eastAsia="TimesNewRomanPSMT" w:cs="TimesNewRomanPS-BoldMT"/>
          <w:sz w:val="20"/>
          <w:szCs w:val="20"/>
          <w:lang w:val="en-GB"/>
        </w:rPr>
        <w:t xml:space="preserve"> Kalan, </w:t>
      </w:r>
      <w:proofErr w:type="spellStart"/>
      <w:r w:rsidR="0095248F" w:rsidRPr="0098280F">
        <w:rPr>
          <w:rFonts w:eastAsia="TimesNewRomanPSMT" w:cs="TimesNewRomanPS-BoldMT"/>
          <w:sz w:val="20"/>
          <w:szCs w:val="20"/>
          <w:lang w:val="en-GB"/>
        </w:rPr>
        <w:t>Baddi</w:t>
      </w:r>
      <w:proofErr w:type="spellEnd"/>
      <w:r w:rsidR="0095248F" w:rsidRPr="0098280F">
        <w:rPr>
          <w:rFonts w:eastAsia="TimesNewRomanPSMT" w:cs="TimesNewRomanPS-BoldMT"/>
          <w:sz w:val="20"/>
          <w:szCs w:val="20"/>
          <w:lang w:val="en-GB"/>
        </w:rPr>
        <w:t xml:space="preserve">, Dist. </w:t>
      </w:r>
      <w:proofErr w:type="spellStart"/>
      <w:r w:rsidR="0095248F" w:rsidRPr="0098280F">
        <w:rPr>
          <w:rFonts w:eastAsia="TimesNewRomanPSMT" w:cs="TimesNewRomanPS-BoldMT"/>
          <w:sz w:val="20"/>
          <w:szCs w:val="20"/>
          <w:lang w:val="en-GB"/>
        </w:rPr>
        <w:t>Solan</w:t>
      </w:r>
      <w:proofErr w:type="spellEnd"/>
      <w:r w:rsidR="0095248F" w:rsidRPr="0098280F">
        <w:rPr>
          <w:rFonts w:eastAsia="TimesNewRomanPSMT" w:cs="TimesNewRomanPS-BoldMT"/>
          <w:sz w:val="20"/>
          <w:szCs w:val="20"/>
          <w:lang w:val="en-GB"/>
        </w:rPr>
        <w:t xml:space="preserve"> (Himachal Pradesh), 173205 India</w:t>
      </w:r>
      <w:r w:rsidR="008B74EA" w:rsidRPr="0098280F">
        <w:rPr>
          <w:rFonts w:eastAsia="TimesNewRomanPSMT" w:cs="TimesNewRomanPS-BoldMT"/>
          <w:sz w:val="20"/>
          <w:szCs w:val="20"/>
          <w:lang w:val="en-GB"/>
        </w:rPr>
        <w:t xml:space="preserve">. </w:t>
      </w:r>
      <w:r w:rsidR="008B74EA" w:rsidRPr="0098280F">
        <w:rPr>
          <w:rFonts w:eastAsia="TimesNewRomanPSMT" w:cs="TimesNewRomanPS-BoldMT"/>
          <w:b/>
          <w:bCs/>
          <w:sz w:val="20"/>
          <w:szCs w:val="20"/>
          <w:lang w:val="en-GB"/>
        </w:rPr>
        <w:t xml:space="preserve">Registration/License holder: </w:t>
      </w:r>
      <w:proofErr w:type="spellStart"/>
      <w:r w:rsidR="008B74EA" w:rsidRPr="0098280F">
        <w:rPr>
          <w:rFonts w:eastAsia="TimesNewRomanPSMT" w:cs="TimesNewRomanPS-BoldMT"/>
          <w:sz w:val="20"/>
          <w:szCs w:val="20"/>
          <w:lang w:val="en-GB"/>
        </w:rPr>
        <w:t>Dafra</w:t>
      </w:r>
      <w:proofErr w:type="spellEnd"/>
      <w:r w:rsidR="008B74EA" w:rsidRPr="0098280F">
        <w:rPr>
          <w:rFonts w:eastAsia="TimesNewRomanPSMT" w:cs="TimesNewRomanPS-BoldMT"/>
          <w:sz w:val="20"/>
          <w:szCs w:val="20"/>
          <w:lang w:val="en-GB"/>
        </w:rPr>
        <w:t xml:space="preserve"> Pharma GmbH, </w:t>
      </w:r>
      <w:proofErr w:type="spellStart"/>
      <w:r w:rsidR="008B74EA" w:rsidRPr="0098280F">
        <w:rPr>
          <w:rFonts w:eastAsia="TimesNewRomanPSMT" w:cs="TimesNewRomanPS-BoldMT"/>
          <w:sz w:val="20"/>
          <w:szCs w:val="20"/>
          <w:lang w:val="en-GB"/>
        </w:rPr>
        <w:t>Mühlenberg</w:t>
      </w:r>
      <w:proofErr w:type="spellEnd"/>
      <w:r w:rsidR="008B74EA" w:rsidRPr="0098280F">
        <w:rPr>
          <w:rFonts w:eastAsia="TimesNewRomanPSMT" w:cs="TimesNewRomanPS-BoldMT"/>
          <w:sz w:val="20"/>
          <w:szCs w:val="20"/>
          <w:lang w:val="en-GB"/>
        </w:rPr>
        <w:t xml:space="preserve"> 7, 4052 Basel, Switzerland.</w:t>
      </w:r>
      <w:r w:rsidR="00AE55BB" w:rsidRPr="0098280F">
        <w:rPr>
          <w:rFonts w:eastAsia="TimesNewRomanPSMT" w:cs="TimesNewRomanPS-BoldMT"/>
          <w:sz w:val="20"/>
          <w:szCs w:val="20"/>
          <w:lang w:val="en-GB"/>
        </w:rPr>
        <w:t xml:space="preserve"> </w:t>
      </w:r>
      <w:r w:rsidR="008B74EA" w:rsidRPr="0098280F">
        <w:rPr>
          <w:rFonts w:eastAsia="TimesNewRomanPSMT" w:cs="TimesNewRomanPS-BoldMT"/>
          <w:b/>
          <w:bCs/>
          <w:sz w:val="20"/>
          <w:szCs w:val="20"/>
          <w:lang w:val="en-GB"/>
        </w:rPr>
        <w:t xml:space="preserve">Last revision date: </w:t>
      </w:r>
      <w:r w:rsidR="001F57F9">
        <w:rPr>
          <w:rFonts w:eastAsia="TimesNewRomanPSMT" w:cs="TimesNewRomanPS-BoldMT"/>
          <w:bCs/>
          <w:sz w:val="20"/>
          <w:szCs w:val="20"/>
          <w:lang w:val="en-GB"/>
        </w:rPr>
        <w:t xml:space="preserve">October </w:t>
      </w:r>
      <w:r w:rsidR="008B74EA" w:rsidRPr="0098280F">
        <w:rPr>
          <w:rFonts w:eastAsia="TimesNewRomanPSMT" w:cs="TimesNewRomanPS-BoldMT"/>
          <w:sz w:val="20"/>
          <w:szCs w:val="20"/>
          <w:lang w:val="en-GB"/>
        </w:rPr>
        <w:t>2019.</w:t>
      </w:r>
    </w:p>
    <w:p w14:paraId="59FADBF3" w14:textId="7FD7E12B" w:rsidR="00133DBE" w:rsidRPr="0098280F" w:rsidRDefault="000148DA" w:rsidP="003D18B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imesNewRomanPS-BoldMT"/>
          <w:b/>
          <w:bCs/>
          <w:sz w:val="20"/>
          <w:szCs w:val="20"/>
          <w:lang w:val="en-GB"/>
        </w:rPr>
      </w:pPr>
      <w:r w:rsidRPr="0098280F">
        <w:rPr>
          <w:rFonts w:cs="TimesNewRomanPS-BoldMT"/>
          <w:b/>
          <w:bCs/>
          <w:sz w:val="20"/>
          <w:szCs w:val="20"/>
          <w:lang w:val="en-GB"/>
        </w:rPr>
        <w:t>7</w:t>
      </w:r>
      <w:r w:rsidR="008B74EA" w:rsidRPr="0098280F">
        <w:rPr>
          <w:rFonts w:cs="TimesNewRomanPS-BoldMT"/>
          <w:b/>
          <w:bCs/>
          <w:sz w:val="20"/>
          <w:szCs w:val="20"/>
          <w:lang w:val="en-GB"/>
        </w:rPr>
        <w:t xml:space="preserve">. </w:t>
      </w:r>
      <w:r w:rsidR="00133DBE" w:rsidRPr="0098280F">
        <w:rPr>
          <w:rFonts w:cs="TimesNewRomanPS-BoldMT"/>
          <w:b/>
          <w:bCs/>
          <w:sz w:val="20"/>
          <w:szCs w:val="20"/>
          <w:lang w:val="en-GB"/>
        </w:rPr>
        <w:t xml:space="preserve">The following information is intended for healthcare professionals only: Method and route of administration of </w:t>
      </w:r>
      <w:proofErr w:type="spellStart"/>
      <w:r w:rsidR="00133DBE" w:rsidRPr="0098280F">
        <w:rPr>
          <w:rFonts w:cs="TimesNewRomanPS-BoldMT"/>
          <w:b/>
          <w:bCs/>
          <w:sz w:val="20"/>
          <w:szCs w:val="20"/>
          <w:lang w:val="en-GB"/>
        </w:rPr>
        <w:t>Cetafor</w:t>
      </w:r>
      <w:proofErr w:type="spellEnd"/>
      <w:r w:rsidR="00A83667" w:rsidRPr="0098280F">
        <w:rPr>
          <w:rFonts w:cs="TimesNewRomanPS-BoldMT"/>
          <w:b/>
          <w:bCs/>
          <w:sz w:val="20"/>
          <w:szCs w:val="20"/>
          <w:vertAlign w:val="superscript"/>
          <w:lang w:val="en-GB"/>
        </w:rPr>
        <w:t>®</w:t>
      </w:r>
      <w:r w:rsidR="00133DBE" w:rsidRPr="0098280F">
        <w:rPr>
          <w:rFonts w:cs="TimesNewRomanPS-BoldMT"/>
          <w:b/>
          <w:bCs/>
          <w:sz w:val="20"/>
          <w:szCs w:val="20"/>
          <w:lang w:val="en-GB"/>
        </w:rPr>
        <w:t xml:space="preserve"> </w:t>
      </w:r>
      <w:r w:rsidR="00B46F1B">
        <w:rPr>
          <w:rFonts w:cs="TimesNewRomanPS-BoldMT"/>
          <w:b/>
          <w:bCs/>
          <w:sz w:val="20"/>
          <w:szCs w:val="20"/>
          <w:lang w:val="en-GB"/>
        </w:rPr>
        <w:t>2000 IV</w:t>
      </w:r>
      <w:r w:rsidR="00AE55BB" w:rsidRPr="0098280F">
        <w:rPr>
          <w:rFonts w:cs="TimesNewRomanPS-BoldMT"/>
          <w:b/>
          <w:bCs/>
          <w:sz w:val="20"/>
          <w:szCs w:val="20"/>
          <w:lang w:val="en-GB"/>
        </w:rPr>
        <w:t xml:space="preserve">, </w:t>
      </w:r>
      <w:r w:rsidR="00133DBE" w:rsidRPr="0098280F">
        <w:rPr>
          <w:rFonts w:cs="TimesNewRomanPS-BoldMT"/>
          <w:b/>
          <w:bCs/>
          <w:sz w:val="20"/>
          <w:szCs w:val="20"/>
          <w:lang w:val="en-GB"/>
        </w:rPr>
        <w:t xml:space="preserve">powder for </w:t>
      </w:r>
      <w:r w:rsidR="00650578" w:rsidRPr="0098280F">
        <w:rPr>
          <w:rFonts w:cs="TimesNewRomanPS-BoldMT"/>
          <w:b/>
          <w:bCs/>
          <w:sz w:val="20"/>
          <w:szCs w:val="20"/>
          <w:lang w:val="en-GB"/>
        </w:rPr>
        <w:t>s</w:t>
      </w:r>
      <w:r w:rsidR="00133DBE" w:rsidRPr="0098280F">
        <w:rPr>
          <w:rFonts w:cs="TimesNewRomanPS-BoldMT"/>
          <w:b/>
          <w:bCs/>
          <w:sz w:val="20"/>
          <w:szCs w:val="20"/>
          <w:lang w:val="en-GB"/>
        </w:rPr>
        <w:t>olution</w:t>
      </w:r>
      <w:r w:rsidR="00650578" w:rsidRPr="0098280F">
        <w:rPr>
          <w:rFonts w:cs="TimesNewRomanPS-BoldMT"/>
          <w:b/>
          <w:bCs/>
          <w:sz w:val="20"/>
          <w:szCs w:val="20"/>
          <w:lang w:val="en-GB"/>
        </w:rPr>
        <w:t xml:space="preserve"> for injection</w:t>
      </w:r>
      <w:r w:rsidR="00133DBE" w:rsidRPr="0098280F">
        <w:rPr>
          <w:rFonts w:cs="TimesNewRomanPS-BoldMT"/>
          <w:b/>
          <w:bCs/>
          <w:sz w:val="20"/>
          <w:szCs w:val="20"/>
          <w:lang w:val="en-GB"/>
        </w:rPr>
        <w:t>/ infusion</w:t>
      </w:r>
    </w:p>
    <w:p w14:paraId="07D4E6D4" w14:textId="72604043" w:rsidR="00133DBE" w:rsidRPr="0098280F" w:rsidRDefault="00E53E83" w:rsidP="00133DBE">
      <w:pPr>
        <w:autoSpaceDE w:val="0"/>
        <w:autoSpaceDN w:val="0"/>
        <w:adjustRightInd w:val="0"/>
        <w:spacing w:after="0" w:line="276" w:lineRule="auto"/>
        <w:rPr>
          <w:rFonts w:eastAsia="TimesNewRomanPSMT" w:cs="TimesNewRomanPSMT"/>
          <w:sz w:val="20"/>
          <w:szCs w:val="20"/>
          <w:lang w:val="en-GB"/>
        </w:rPr>
      </w:pPr>
      <w:proofErr w:type="spellStart"/>
      <w:r w:rsidRPr="0098280F">
        <w:rPr>
          <w:rFonts w:eastAsia="TimesNewRomanPSMT" w:cs="TimesNewRomanPSMT"/>
          <w:sz w:val="20"/>
          <w:szCs w:val="20"/>
          <w:lang w:val="en-GB"/>
        </w:rPr>
        <w:t>Cetafor</w:t>
      </w:r>
      <w:proofErr w:type="spellEnd"/>
      <w:r w:rsidR="00A83667" w:rsidRPr="0098280F">
        <w:rPr>
          <w:rFonts w:eastAsia="TimesNewRomanPSMT" w:cs="TimesNewRomanPSMT"/>
          <w:sz w:val="20"/>
          <w:szCs w:val="20"/>
          <w:vertAlign w:val="superscript"/>
          <w:lang w:val="en-GB"/>
        </w:rPr>
        <w:t>®</w:t>
      </w:r>
      <w:r w:rsidRPr="0098280F">
        <w:rPr>
          <w:rFonts w:eastAsia="TimesNewRomanPSMT" w:cs="TimesNewRomanPSMT"/>
          <w:sz w:val="20"/>
          <w:szCs w:val="20"/>
          <w:lang w:val="en-GB"/>
        </w:rPr>
        <w:t xml:space="preserve"> may be administered as an intravenous bolus, by intravenous infusion or by intramuscular injection, after reconstitution of the solution according to the directions provided below. Ceftriaxone should not be </w:t>
      </w:r>
      <w:r w:rsidRPr="0098280F">
        <w:rPr>
          <w:rFonts w:eastAsia="TimesNewRomanPSMT" w:cs="TimesNewRomanPSMT"/>
          <w:sz w:val="20"/>
          <w:szCs w:val="20"/>
          <w:lang w:val="en-GB"/>
        </w:rPr>
        <w:lastRenderedPageBreak/>
        <w:t>mixed with any other substance in the same syringe.</w:t>
      </w:r>
      <w:r w:rsidR="00D600D0" w:rsidRPr="00D600D0">
        <w:rPr>
          <w:rFonts w:eastAsia="TimesNewRomanPSMT" w:cs="TimesNewRomanPSMT"/>
          <w:sz w:val="20"/>
          <w:szCs w:val="20"/>
          <w:lang w:val="en-GB"/>
        </w:rPr>
        <w:t xml:space="preserve"> </w:t>
      </w:r>
      <w:r w:rsidR="00D600D0">
        <w:rPr>
          <w:rFonts w:eastAsia="TimesNewRomanPSMT" w:cs="TimesNewRomanPSMT"/>
          <w:sz w:val="20"/>
          <w:szCs w:val="20"/>
          <w:lang w:val="en-GB"/>
        </w:rPr>
        <w:t xml:space="preserve">The presentation </w:t>
      </w:r>
      <w:proofErr w:type="spellStart"/>
      <w:r w:rsidR="00D600D0">
        <w:rPr>
          <w:rFonts w:eastAsia="TimesNewRomanPSMT" w:cs="TimesNewRomanPSMT"/>
          <w:sz w:val="20"/>
          <w:szCs w:val="20"/>
          <w:lang w:val="en-GB"/>
        </w:rPr>
        <w:t>Ceftafor</w:t>
      </w:r>
      <w:proofErr w:type="spellEnd"/>
      <w:r w:rsidR="00D600D0">
        <w:rPr>
          <w:rFonts w:eastAsia="TimesNewRomanPSMT" w:cs="TimesNewRomanPSMT"/>
          <w:sz w:val="20"/>
          <w:szCs w:val="20"/>
          <w:lang w:val="en-GB"/>
        </w:rPr>
        <w:t xml:space="preserve">® </w:t>
      </w:r>
      <w:r w:rsidR="00B46F1B">
        <w:rPr>
          <w:rFonts w:eastAsia="TimesNewRomanPSMT" w:cs="TimesNewRomanPSMT"/>
          <w:sz w:val="20"/>
          <w:szCs w:val="20"/>
          <w:lang w:val="en-GB"/>
        </w:rPr>
        <w:t>2000 IV</w:t>
      </w:r>
      <w:r w:rsidR="00D600D0">
        <w:rPr>
          <w:rFonts w:eastAsia="TimesNewRomanPSMT" w:cs="TimesNewRomanPSMT"/>
          <w:sz w:val="20"/>
          <w:szCs w:val="20"/>
          <w:lang w:val="en-GB"/>
        </w:rPr>
        <w:t xml:space="preserve"> is intended </w:t>
      </w:r>
      <w:proofErr w:type="gramStart"/>
      <w:r w:rsidR="00D600D0">
        <w:rPr>
          <w:rFonts w:eastAsia="TimesNewRomanPSMT" w:cs="TimesNewRomanPSMT"/>
          <w:sz w:val="20"/>
          <w:szCs w:val="20"/>
          <w:lang w:val="en-GB"/>
        </w:rPr>
        <w:t>for  intravenous</w:t>
      </w:r>
      <w:proofErr w:type="gramEnd"/>
      <w:r w:rsidR="00467896">
        <w:rPr>
          <w:rFonts w:eastAsia="TimesNewRomanPSMT" w:cs="TimesNewRomanPSMT"/>
          <w:sz w:val="20"/>
          <w:szCs w:val="20"/>
          <w:lang w:val="en-GB"/>
        </w:rPr>
        <w:t xml:space="preserve"> use by</w:t>
      </w:r>
      <w:r w:rsidR="00D600D0">
        <w:rPr>
          <w:rFonts w:eastAsia="TimesNewRomanPSMT" w:cs="TimesNewRomanPSMT"/>
          <w:sz w:val="20"/>
          <w:szCs w:val="20"/>
          <w:lang w:val="en-GB"/>
        </w:rPr>
        <w:t xml:space="preserve"> </w:t>
      </w:r>
      <w:r w:rsidR="00467896">
        <w:rPr>
          <w:rFonts w:eastAsia="TimesNewRomanPSMT" w:cs="TimesNewRomanPSMT"/>
          <w:sz w:val="20"/>
          <w:szCs w:val="20"/>
          <w:lang w:val="en-GB"/>
        </w:rPr>
        <w:t>infusion</w:t>
      </w:r>
      <w:r w:rsidR="00D600D0">
        <w:rPr>
          <w:rFonts w:eastAsia="TimesNewRomanPSMT" w:cs="TimesNewRomanPSMT"/>
          <w:sz w:val="20"/>
          <w:szCs w:val="20"/>
          <w:lang w:val="en-GB"/>
        </w:rPr>
        <w:t>.</w:t>
      </w:r>
    </w:p>
    <w:p w14:paraId="0DA7F590" w14:textId="48AEC2A9" w:rsidR="00133DBE" w:rsidRPr="0098280F" w:rsidRDefault="00133DBE" w:rsidP="00133DBE">
      <w:pPr>
        <w:autoSpaceDE w:val="0"/>
        <w:autoSpaceDN w:val="0"/>
        <w:adjustRightInd w:val="0"/>
        <w:spacing w:after="0" w:line="276" w:lineRule="auto"/>
        <w:rPr>
          <w:rFonts w:eastAsia="TimesNewRomanPSMT" w:cs="TimesNewRomanPSMT"/>
          <w:sz w:val="20"/>
          <w:szCs w:val="20"/>
          <w:lang w:val="en-GB"/>
        </w:rPr>
      </w:pPr>
      <w:r w:rsidRPr="0098280F">
        <w:rPr>
          <w:rFonts w:eastAsia="TimesNewRomanPSMT" w:cs="TimesNewRomanPSMT"/>
          <w:b/>
          <w:bCs/>
          <w:sz w:val="20"/>
          <w:szCs w:val="20"/>
          <w:lang w:val="en-GB"/>
        </w:rPr>
        <w:t>Do not use any diluents containing calcium</w:t>
      </w:r>
      <w:r w:rsidRPr="0098280F">
        <w:rPr>
          <w:rFonts w:eastAsia="TimesNewRomanPSMT" w:cs="TimesNewRomanPSMT"/>
          <w:sz w:val="20"/>
          <w:szCs w:val="20"/>
          <w:lang w:val="en-GB"/>
        </w:rPr>
        <w:t xml:space="preserve">, such as Ringer’s or Hartmann’s solution, to reconstitute </w:t>
      </w:r>
      <w:proofErr w:type="spellStart"/>
      <w:r w:rsidRPr="0098280F">
        <w:rPr>
          <w:rFonts w:eastAsia="TimesNewRomanPSMT" w:cs="TimesNewRomanPSMT"/>
          <w:sz w:val="20"/>
          <w:szCs w:val="20"/>
          <w:lang w:val="en-GB"/>
        </w:rPr>
        <w:t>Cetafor</w:t>
      </w:r>
      <w:proofErr w:type="spellEnd"/>
      <w:r w:rsidR="00A83667" w:rsidRPr="0098280F">
        <w:rPr>
          <w:rFonts w:eastAsia="TimesNewRomanPSMT" w:cs="TimesNewRomanPSMT"/>
          <w:sz w:val="20"/>
          <w:szCs w:val="20"/>
          <w:vertAlign w:val="superscript"/>
          <w:lang w:val="en-GB"/>
        </w:rPr>
        <w:t>®</w:t>
      </w:r>
      <w:r w:rsidRPr="0098280F">
        <w:rPr>
          <w:rFonts w:eastAsia="TimesNewRomanPSMT" w:cs="TimesNewRomanPSMT"/>
          <w:sz w:val="20"/>
          <w:szCs w:val="20"/>
          <w:lang w:val="en-GB"/>
        </w:rPr>
        <w:t>. This may cause particle formation.</w:t>
      </w:r>
    </w:p>
    <w:p w14:paraId="38617234" w14:textId="7E16FD21" w:rsidR="00517C10" w:rsidRPr="0098280F" w:rsidRDefault="00E86C48" w:rsidP="00517C10">
      <w:pPr>
        <w:autoSpaceDE w:val="0"/>
        <w:autoSpaceDN w:val="0"/>
        <w:adjustRightInd w:val="0"/>
        <w:spacing w:after="0" w:line="276" w:lineRule="auto"/>
        <w:rPr>
          <w:rFonts w:eastAsia="TimesNewRomanPSMT" w:cs="TimesNewRomanPSMT"/>
          <w:sz w:val="20"/>
          <w:szCs w:val="20"/>
          <w:lang w:val="en-GB"/>
        </w:rPr>
      </w:pPr>
      <w:r w:rsidRPr="0098280F">
        <w:rPr>
          <w:rFonts w:eastAsia="TimesNewRomanPSMT" w:cs="TimesNewRomanPSMT"/>
          <w:sz w:val="20"/>
          <w:szCs w:val="20"/>
          <w:lang w:val="en-GB"/>
        </w:rPr>
        <w:t xml:space="preserve">The colour of the solution varies from a </w:t>
      </w:r>
      <w:r w:rsidR="00517C10" w:rsidRPr="0098280F">
        <w:rPr>
          <w:rFonts w:eastAsia="TimesNewRomanPSMT" w:cs="TimesNewRomanPSMT"/>
          <w:sz w:val="20"/>
          <w:szCs w:val="20"/>
          <w:lang w:val="en-GB"/>
        </w:rPr>
        <w:t xml:space="preserve">pale yellow to </w:t>
      </w:r>
      <w:r w:rsidRPr="0098280F">
        <w:rPr>
          <w:rFonts w:eastAsia="TimesNewRomanPSMT" w:cs="TimesNewRomanPSMT"/>
          <w:sz w:val="20"/>
          <w:szCs w:val="20"/>
          <w:lang w:val="en-GB"/>
        </w:rPr>
        <w:t xml:space="preserve">an </w:t>
      </w:r>
      <w:r w:rsidR="00517C10" w:rsidRPr="0098280F">
        <w:rPr>
          <w:rFonts w:eastAsia="TimesNewRomanPSMT" w:cs="TimesNewRomanPSMT"/>
          <w:sz w:val="20"/>
          <w:szCs w:val="20"/>
          <w:lang w:val="en-GB"/>
        </w:rPr>
        <w:t xml:space="preserve">amber </w:t>
      </w:r>
      <w:r w:rsidRPr="0098280F">
        <w:rPr>
          <w:rFonts w:eastAsia="TimesNewRomanPSMT" w:cs="TimesNewRomanPSMT"/>
          <w:sz w:val="20"/>
          <w:szCs w:val="20"/>
          <w:lang w:val="en-GB"/>
        </w:rPr>
        <w:t xml:space="preserve">coloured </w:t>
      </w:r>
      <w:r w:rsidR="00517C10" w:rsidRPr="0098280F">
        <w:rPr>
          <w:rFonts w:eastAsia="TimesNewRomanPSMT" w:cs="TimesNewRomanPSMT"/>
          <w:sz w:val="20"/>
          <w:szCs w:val="20"/>
          <w:lang w:val="en-GB"/>
        </w:rPr>
        <w:t>solution</w:t>
      </w:r>
      <w:r w:rsidRPr="0098280F">
        <w:rPr>
          <w:rFonts w:eastAsia="TimesNewRomanPSMT" w:cs="TimesNewRomanPSMT"/>
          <w:sz w:val="20"/>
          <w:szCs w:val="20"/>
          <w:lang w:val="en-GB"/>
        </w:rPr>
        <w:t>, depending on storage condition, concentration of the diluent and</w:t>
      </w:r>
      <w:r w:rsidR="000D0235" w:rsidRPr="0098280F">
        <w:rPr>
          <w:rFonts w:eastAsia="TimesNewRomanPSMT" w:cs="TimesNewRomanPSMT"/>
          <w:sz w:val="20"/>
          <w:szCs w:val="20"/>
          <w:lang w:val="en-GB"/>
        </w:rPr>
        <w:t xml:space="preserve"> of </w:t>
      </w:r>
      <w:r w:rsidRPr="0098280F">
        <w:rPr>
          <w:rFonts w:eastAsia="TimesNewRomanPSMT" w:cs="TimesNewRomanPSMT"/>
          <w:sz w:val="20"/>
          <w:szCs w:val="20"/>
          <w:lang w:val="en-GB"/>
        </w:rPr>
        <w:t>the type of diluent used.</w:t>
      </w:r>
      <w:r w:rsidR="000D0235" w:rsidRPr="0098280F">
        <w:rPr>
          <w:rFonts w:eastAsia="TimesNewRomanPSMT" w:cs="TimesNewRomanPS-BoldMT"/>
          <w:sz w:val="20"/>
          <w:szCs w:val="20"/>
          <w:lang w:val="en-GB"/>
        </w:rPr>
        <w:t xml:space="preserve"> </w:t>
      </w:r>
      <w:r w:rsidR="00D701B5" w:rsidRPr="0098280F">
        <w:rPr>
          <w:rFonts w:eastAsia="TimesNewRomanPSMT" w:cs="TimesNewRomanPS-BoldMT"/>
          <w:sz w:val="20"/>
          <w:szCs w:val="20"/>
          <w:lang w:val="en-GB"/>
        </w:rPr>
        <w:t xml:space="preserve">As a general rule, reconstituted solutions should be used immediately. </w:t>
      </w:r>
      <w:r w:rsidR="00517C10" w:rsidRPr="0098280F">
        <w:rPr>
          <w:rFonts w:eastAsia="TimesNewRomanPSMT" w:cs="TimesNewRomanPSMT"/>
          <w:sz w:val="20"/>
          <w:szCs w:val="20"/>
          <w:lang w:val="en-GB"/>
        </w:rPr>
        <w:t>Reconstituted solutions should be visually inspected. Only clear solutions not containing any visible particles may be used. The reconstituted product is for single use only</w:t>
      </w:r>
      <w:r w:rsidR="001E7888" w:rsidRPr="0098280F">
        <w:rPr>
          <w:rFonts w:eastAsia="TimesNewRomanPSMT" w:cs="TimesNewRomanPSMT"/>
          <w:sz w:val="20"/>
          <w:szCs w:val="20"/>
          <w:lang w:val="en-GB"/>
        </w:rPr>
        <w:t xml:space="preserve"> </w:t>
      </w:r>
      <w:r w:rsidR="00B910D6" w:rsidRPr="0098280F">
        <w:rPr>
          <w:rFonts w:eastAsia="TimesNewRomanPSMT" w:cs="TimesNewRomanPSMT"/>
          <w:sz w:val="20"/>
          <w:szCs w:val="20"/>
          <w:lang w:val="en-GB"/>
        </w:rPr>
        <w:t>and any unused solution should be eliminated.</w:t>
      </w:r>
    </w:p>
    <w:p w14:paraId="5251D8B0" w14:textId="78D1BF35" w:rsidR="00133DBE" w:rsidRDefault="00133DBE" w:rsidP="00D967E5">
      <w:pPr>
        <w:autoSpaceDE w:val="0"/>
        <w:autoSpaceDN w:val="0"/>
        <w:adjustRightInd w:val="0"/>
        <w:spacing w:after="0" w:line="276" w:lineRule="auto"/>
        <w:rPr>
          <w:sz w:val="20"/>
          <w:szCs w:val="20"/>
          <w:lang w:val="en-GB"/>
        </w:rPr>
      </w:pPr>
      <w:r w:rsidRPr="0098280F">
        <w:rPr>
          <w:i/>
          <w:iCs/>
          <w:sz w:val="20"/>
          <w:szCs w:val="20"/>
          <w:lang w:val="en-GB"/>
        </w:rPr>
        <w:t xml:space="preserve">Intravenous infusion: </w:t>
      </w:r>
      <w:proofErr w:type="spellStart"/>
      <w:r w:rsidR="0095248F" w:rsidRPr="0098280F">
        <w:rPr>
          <w:sz w:val="20"/>
          <w:szCs w:val="20"/>
          <w:lang w:val="en-GB"/>
        </w:rPr>
        <w:t>Cetafor</w:t>
      </w:r>
      <w:proofErr w:type="spellEnd"/>
      <w:r w:rsidR="0095248F" w:rsidRPr="0098280F">
        <w:rPr>
          <w:sz w:val="20"/>
          <w:szCs w:val="20"/>
          <w:lang w:val="en-GB"/>
        </w:rPr>
        <w:t>®</w:t>
      </w:r>
      <w:r w:rsidR="000D355E">
        <w:rPr>
          <w:sz w:val="20"/>
          <w:szCs w:val="20"/>
          <w:lang w:val="en-GB"/>
        </w:rPr>
        <w:t xml:space="preserve"> </w:t>
      </w:r>
      <w:r w:rsidR="00B46F1B">
        <w:rPr>
          <w:sz w:val="20"/>
          <w:szCs w:val="20"/>
          <w:lang w:val="en-GB"/>
        </w:rPr>
        <w:t>2000 IV</w:t>
      </w:r>
      <w:r w:rsidR="00D967E5" w:rsidRPr="0098280F">
        <w:rPr>
          <w:sz w:val="20"/>
          <w:szCs w:val="20"/>
          <w:lang w:val="en-GB"/>
        </w:rPr>
        <w:t xml:space="preserve"> is dissolved in 40ml of one of the following calcium-free infusion fluids: sodium chloride 0.9%, sodium chloride 0.45% + dextrose 2.5%, dextrose 5%, dextrose 10%, dextran 6% in dextrose 5%, hydroxyethyl-starch 6-10%, </w:t>
      </w:r>
      <w:proofErr w:type="gramStart"/>
      <w:r w:rsidR="00D967E5" w:rsidRPr="0098280F">
        <w:rPr>
          <w:sz w:val="20"/>
          <w:szCs w:val="20"/>
          <w:lang w:val="en-GB"/>
        </w:rPr>
        <w:t>w</w:t>
      </w:r>
      <w:bookmarkStart w:id="0" w:name="_GoBack"/>
      <w:bookmarkEnd w:id="0"/>
      <w:r w:rsidR="00D967E5" w:rsidRPr="0098280F">
        <w:rPr>
          <w:sz w:val="20"/>
          <w:szCs w:val="20"/>
          <w:lang w:val="en-GB"/>
        </w:rPr>
        <w:t>ater</w:t>
      </w:r>
      <w:proofErr w:type="gramEnd"/>
      <w:r w:rsidR="00D967E5" w:rsidRPr="0098280F">
        <w:rPr>
          <w:sz w:val="20"/>
          <w:szCs w:val="20"/>
          <w:lang w:val="en-GB"/>
        </w:rPr>
        <w:t xml:space="preserve"> for injections. The infusion should be administered over at least 30 minutes.</w:t>
      </w:r>
    </w:p>
    <w:p w14:paraId="28EBD630" w14:textId="77777777" w:rsidR="00682897" w:rsidRDefault="00682897" w:rsidP="00682897">
      <w:pPr>
        <w:spacing w:after="0" w:line="240" w:lineRule="auto"/>
        <w:rPr>
          <w:rFonts w:asciiTheme="majorHAnsi" w:hAnsiTheme="majorHAnsi" w:cstheme="majorHAnsi"/>
          <w:sz w:val="20"/>
          <w:szCs w:val="20"/>
          <w:lang w:val="en-GB"/>
        </w:rPr>
      </w:pPr>
      <w:r w:rsidRPr="000D355E">
        <w:rPr>
          <w:rFonts w:asciiTheme="majorHAnsi" w:hAnsiTheme="majorHAnsi" w:cstheme="majorHAnsi"/>
          <w:sz w:val="20"/>
          <w:szCs w:val="20"/>
          <w:lang w:val="en-GB"/>
        </w:rPr>
        <w:t>When adding 40ml of water for injections, the final concentration of the reconstituted solution is 48.34 mg/ml.</w:t>
      </w:r>
    </w:p>
    <w:p w14:paraId="687A68B3" w14:textId="7A84CA3F" w:rsidR="00682897" w:rsidRPr="000D355E" w:rsidRDefault="00682897" w:rsidP="000D355E">
      <w:pPr>
        <w:spacing w:after="0" w:line="240" w:lineRule="auto"/>
        <w:rPr>
          <w:rFonts w:asciiTheme="majorHAnsi" w:eastAsia="TimesNewRomanPSMT" w:hAnsiTheme="majorHAnsi" w:cstheme="majorHAnsi"/>
          <w:sz w:val="20"/>
          <w:szCs w:val="20"/>
          <w:lang w:val="en-GB"/>
        </w:rPr>
      </w:pPr>
      <w:r w:rsidRPr="000D355E">
        <w:rPr>
          <w:rFonts w:asciiTheme="majorHAnsi" w:hAnsiTheme="majorHAnsi" w:cstheme="majorHAnsi"/>
          <w:sz w:val="20"/>
          <w:szCs w:val="20"/>
          <w:lang w:val="en-GB"/>
        </w:rPr>
        <w:t>In neonates, intravenous doses should be given over 60 minutes to reduce potential risk of bilirubin encephalopathy</w:t>
      </w:r>
      <w:r>
        <w:rPr>
          <w:rFonts w:asciiTheme="majorHAnsi" w:hAnsiTheme="majorHAnsi" w:cstheme="majorHAnsi"/>
          <w:sz w:val="20"/>
          <w:szCs w:val="20"/>
          <w:lang w:val="en-GB"/>
        </w:rPr>
        <w:t>.</w:t>
      </w:r>
    </w:p>
    <w:p w14:paraId="23F88CEA" w14:textId="437340A2" w:rsidR="00133DBE" w:rsidRPr="0098280F" w:rsidRDefault="00D33A86" w:rsidP="0050083C">
      <w:pPr>
        <w:autoSpaceDE w:val="0"/>
        <w:autoSpaceDN w:val="0"/>
        <w:adjustRightInd w:val="0"/>
        <w:spacing w:after="0" w:line="276" w:lineRule="auto"/>
        <w:rPr>
          <w:rFonts w:eastAsia="TimesNewRomanPSMT" w:cs="TimesNewRomanPSMT"/>
          <w:sz w:val="20"/>
          <w:szCs w:val="20"/>
          <w:lang w:val="en-GB"/>
        </w:rPr>
      </w:pPr>
      <w:r w:rsidRPr="0098280F">
        <w:rPr>
          <w:rFonts w:eastAsia="TimesNewRomanPSMT" w:cs="TimesNewRomanPSMT"/>
          <w:b/>
          <w:bCs/>
          <w:sz w:val="20"/>
          <w:szCs w:val="20"/>
          <w:lang w:val="en-GB"/>
        </w:rPr>
        <w:t>Mixability</w:t>
      </w:r>
      <w:r w:rsidRPr="0098280F">
        <w:rPr>
          <w:rFonts w:eastAsia="TimesNewRomanPSMT"/>
          <w:sz w:val="20"/>
          <w:szCs w:val="20"/>
          <w:lang w:val="en-GB"/>
        </w:rPr>
        <w:t>•</w:t>
      </w:r>
      <w:r w:rsidRPr="0098280F">
        <w:rPr>
          <w:rFonts w:eastAsia="TimesNewRomanPSMT" w:cs="TimesNewRomanPSMT"/>
          <w:sz w:val="20"/>
          <w:szCs w:val="20"/>
          <w:lang w:val="en-GB"/>
        </w:rPr>
        <w:t xml:space="preserve"> </w:t>
      </w:r>
      <w:r w:rsidR="00133DBE" w:rsidRPr="0098280F">
        <w:rPr>
          <w:rFonts w:eastAsia="TimesNewRomanPSMT"/>
          <w:b/>
          <w:bCs/>
          <w:sz w:val="20"/>
          <w:szCs w:val="20"/>
          <w:lang w:val="en-GB"/>
        </w:rPr>
        <w:t xml:space="preserve">Ceftriaxone should not be mixed with, or administered at the same time as, any solutions containing calcium. </w:t>
      </w:r>
      <w:r w:rsidRPr="0098280F">
        <w:rPr>
          <w:rFonts w:eastAsia="TimesNewRomanPSMT"/>
          <w:sz w:val="20"/>
          <w:szCs w:val="20"/>
          <w:lang w:val="en-GB"/>
        </w:rPr>
        <w:t>•</w:t>
      </w:r>
      <w:r w:rsidR="00133DBE" w:rsidRPr="0098280F">
        <w:rPr>
          <w:rFonts w:eastAsia="TimesNewRomanPSMT"/>
          <w:sz w:val="20"/>
          <w:szCs w:val="20"/>
          <w:lang w:val="en-GB"/>
        </w:rPr>
        <w:t xml:space="preserve">Based on literature reports, ceftriaxone is incompatible with </w:t>
      </w:r>
      <w:proofErr w:type="spellStart"/>
      <w:r w:rsidR="00133DBE" w:rsidRPr="0098280F">
        <w:rPr>
          <w:rFonts w:eastAsia="TimesNewRomanPSMT"/>
          <w:sz w:val="20"/>
          <w:szCs w:val="20"/>
          <w:lang w:val="en-GB"/>
        </w:rPr>
        <w:t>amsacrine</w:t>
      </w:r>
      <w:proofErr w:type="spellEnd"/>
      <w:r w:rsidR="00133DBE" w:rsidRPr="0098280F">
        <w:rPr>
          <w:rFonts w:eastAsia="TimesNewRomanPSMT"/>
          <w:sz w:val="20"/>
          <w:szCs w:val="20"/>
          <w:lang w:val="en-GB"/>
        </w:rPr>
        <w:t>, vancomycin, fluconazole, aminoglycosides and labetalol.</w:t>
      </w:r>
      <w:r w:rsidR="006356DF" w:rsidRPr="0098280F">
        <w:rPr>
          <w:rFonts w:eastAsia="TimesNewRomanPSMT"/>
          <w:sz w:val="20"/>
          <w:szCs w:val="20"/>
          <w:lang w:val="en-GB"/>
        </w:rPr>
        <w:t xml:space="preserve"> </w:t>
      </w:r>
    </w:p>
    <w:sectPr w:rsidR="00133DBE" w:rsidRPr="00982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E4331B"/>
    <w:multiLevelType w:val="hybridMultilevel"/>
    <w:tmpl w:val="F43E8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BE"/>
    <w:rsid w:val="000052D2"/>
    <w:rsid w:val="000148DA"/>
    <w:rsid w:val="000D0235"/>
    <w:rsid w:val="000D355E"/>
    <w:rsid w:val="000E494C"/>
    <w:rsid w:val="00133DBE"/>
    <w:rsid w:val="00185CEE"/>
    <w:rsid w:val="00195F58"/>
    <w:rsid w:val="001A60D4"/>
    <w:rsid w:val="001E7888"/>
    <w:rsid w:val="001F57F9"/>
    <w:rsid w:val="002406CD"/>
    <w:rsid w:val="00280723"/>
    <w:rsid w:val="00282EBB"/>
    <w:rsid w:val="002D47D2"/>
    <w:rsid w:val="002D7315"/>
    <w:rsid w:val="00316012"/>
    <w:rsid w:val="00326F6D"/>
    <w:rsid w:val="00334003"/>
    <w:rsid w:val="00337915"/>
    <w:rsid w:val="003D18BF"/>
    <w:rsid w:val="004248A7"/>
    <w:rsid w:val="00460654"/>
    <w:rsid w:val="00467896"/>
    <w:rsid w:val="004F1A02"/>
    <w:rsid w:val="004F29A9"/>
    <w:rsid w:val="0050083C"/>
    <w:rsid w:val="00517C10"/>
    <w:rsid w:val="005322B7"/>
    <w:rsid w:val="005703DC"/>
    <w:rsid w:val="005A10D4"/>
    <w:rsid w:val="005B5C9E"/>
    <w:rsid w:val="005C3E2C"/>
    <w:rsid w:val="005C3F1F"/>
    <w:rsid w:val="005E4A1F"/>
    <w:rsid w:val="006356DF"/>
    <w:rsid w:val="006419B4"/>
    <w:rsid w:val="00650578"/>
    <w:rsid w:val="00652832"/>
    <w:rsid w:val="00677DAA"/>
    <w:rsid w:val="00681048"/>
    <w:rsid w:val="00682897"/>
    <w:rsid w:val="006A3615"/>
    <w:rsid w:val="006A6338"/>
    <w:rsid w:val="006E5309"/>
    <w:rsid w:val="00761716"/>
    <w:rsid w:val="00802448"/>
    <w:rsid w:val="00804E3B"/>
    <w:rsid w:val="00811A67"/>
    <w:rsid w:val="008B74EA"/>
    <w:rsid w:val="008C0AFD"/>
    <w:rsid w:val="008E72A6"/>
    <w:rsid w:val="0090006D"/>
    <w:rsid w:val="0095248F"/>
    <w:rsid w:val="0098280F"/>
    <w:rsid w:val="00A12DBC"/>
    <w:rsid w:val="00A27136"/>
    <w:rsid w:val="00A63A62"/>
    <w:rsid w:val="00A83667"/>
    <w:rsid w:val="00AE55BB"/>
    <w:rsid w:val="00AF7CCB"/>
    <w:rsid w:val="00B139A1"/>
    <w:rsid w:val="00B445DA"/>
    <w:rsid w:val="00B46F1B"/>
    <w:rsid w:val="00B910D6"/>
    <w:rsid w:val="00BF0E87"/>
    <w:rsid w:val="00C15E00"/>
    <w:rsid w:val="00C26CA4"/>
    <w:rsid w:val="00C72CEC"/>
    <w:rsid w:val="00CF0B99"/>
    <w:rsid w:val="00D12D71"/>
    <w:rsid w:val="00D33A86"/>
    <w:rsid w:val="00D600D0"/>
    <w:rsid w:val="00D701B5"/>
    <w:rsid w:val="00D7457F"/>
    <w:rsid w:val="00D95F81"/>
    <w:rsid w:val="00D967E5"/>
    <w:rsid w:val="00E07B76"/>
    <w:rsid w:val="00E37B5C"/>
    <w:rsid w:val="00E53E83"/>
    <w:rsid w:val="00E86C48"/>
    <w:rsid w:val="00EB337C"/>
    <w:rsid w:val="00EC121D"/>
    <w:rsid w:val="00EE6EFF"/>
    <w:rsid w:val="00F61411"/>
    <w:rsid w:val="00F70649"/>
    <w:rsid w:val="00F82395"/>
    <w:rsid w:val="00F936FF"/>
    <w:rsid w:val="00FB75F7"/>
    <w:rsid w:val="00FD1E3D"/>
    <w:rsid w:val="00FF0453"/>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AB9F"/>
  <w15:chartTrackingRefBased/>
  <w15:docId w15:val="{C1EF16B1-CF48-4034-A721-A93D7B96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BE"/>
    <w:pPr>
      <w:spacing w:line="256" w:lineRule="auto"/>
      <w:ind w:left="720"/>
      <w:contextualSpacing/>
    </w:pPr>
    <w:rPr>
      <w:lang w:val="en-GB"/>
    </w:rPr>
  </w:style>
  <w:style w:type="paragraph" w:styleId="BalloonText">
    <w:name w:val="Balloon Text"/>
    <w:basedOn w:val="Normal"/>
    <w:link w:val="BalloonTextChar"/>
    <w:uiPriority w:val="99"/>
    <w:semiHidden/>
    <w:unhideWhenUsed/>
    <w:rsid w:val="00F82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95"/>
    <w:rPr>
      <w:rFonts w:ascii="Segoe UI" w:hAnsi="Segoe UI" w:cs="Segoe UI"/>
      <w:sz w:val="18"/>
      <w:szCs w:val="18"/>
    </w:rPr>
  </w:style>
  <w:style w:type="character" w:styleId="CommentReference">
    <w:name w:val="annotation reference"/>
    <w:basedOn w:val="DefaultParagraphFont"/>
    <w:uiPriority w:val="99"/>
    <w:semiHidden/>
    <w:unhideWhenUsed/>
    <w:rsid w:val="001E7888"/>
    <w:rPr>
      <w:sz w:val="16"/>
      <w:szCs w:val="16"/>
    </w:rPr>
  </w:style>
  <w:style w:type="paragraph" w:styleId="CommentText">
    <w:name w:val="annotation text"/>
    <w:basedOn w:val="Normal"/>
    <w:link w:val="CommentTextChar"/>
    <w:uiPriority w:val="99"/>
    <w:semiHidden/>
    <w:unhideWhenUsed/>
    <w:rsid w:val="001E7888"/>
    <w:pPr>
      <w:spacing w:line="240" w:lineRule="auto"/>
    </w:pPr>
    <w:rPr>
      <w:sz w:val="20"/>
      <w:szCs w:val="20"/>
    </w:rPr>
  </w:style>
  <w:style w:type="character" w:customStyle="1" w:styleId="CommentTextChar">
    <w:name w:val="Comment Text Char"/>
    <w:basedOn w:val="DefaultParagraphFont"/>
    <w:link w:val="CommentText"/>
    <w:uiPriority w:val="99"/>
    <w:semiHidden/>
    <w:rsid w:val="001E7888"/>
    <w:rPr>
      <w:sz w:val="20"/>
      <w:szCs w:val="20"/>
    </w:rPr>
  </w:style>
  <w:style w:type="paragraph" w:styleId="CommentSubject">
    <w:name w:val="annotation subject"/>
    <w:basedOn w:val="CommentText"/>
    <w:next w:val="CommentText"/>
    <w:link w:val="CommentSubjectChar"/>
    <w:uiPriority w:val="99"/>
    <w:semiHidden/>
    <w:unhideWhenUsed/>
    <w:rsid w:val="001E7888"/>
    <w:rPr>
      <w:b/>
      <w:bCs/>
    </w:rPr>
  </w:style>
  <w:style w:type="character" w:customStyle="1" w:styleId="CommentSubjectChar">
    <w:name w:val="Comment Subject Char"/>
    <w:basedOn w:val="CommentTextChar"/>
    <w:link w:val="CommentSubject"/>
    <w:uiPriority w:val="99"/>
    <w:semiHidden/>
    <w:rsid w:val="001E78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6651">
      <w:bodyDiv w:val="1"/>
      <w:marLeft w:val="0"/>
      <w:marRight w:val="0"/>
      <w:marTop w:val="0"/>
      <w:marBottom w:val="0"/>
      <w:divBdr>
        <w:top w:val="none" w:sz="0" w:space="0" w:color="auto"/>
        <w:left w:val="none" w:sz="0" w:space="0" w:color="auto"/>
        <w:bottom w:val="none" w:sz="0" w:space="0" w:color="auto"/>
        <w:right w:val="none" w:sz="0" w:space="0" w:color="auto"/>
      </w:divBdr>
    </w:div>
    <w:div w:id="544604362">
      <w:bodyDiv w:val="1"/>
      <w:marLeft w:val="0"/>
      <w:marRight w:val="0"/>
      <w:marTop w:val="0"/>
      <w:marBottom w:val="0"/>
      <w:divBdr>
        <w:top w:val="none" w:sz="0" w:space="0" w:color="auto"/>
        <w:left w:val="none" w:sz="0" w:space="0" w:color="auto"/>
        <w:bottom w:val="none" w:sz="0" w:space="0" w:color="auto"/>
        <w:right w:val="none" w:sz="0" w:space="0" w:color="auto"/>
      </w:divBdr>
    </w:div>
    <w:div w:id="1178496063">
      <w:bodyDiv w:val="1"/>
      <w:marLeft w:val="0"/>
      <w:marRight w:val="0"/>
      <w:marTop w:val="0"/>
      <w:marBottom w:val="0"/>
      <w:divBdr>
        <w:top w:val="none" w:sz="0" w:space="0" w:color="auto"/>
        <w:left w:val="none" w:sz="0" w:space="0" w:color="auto"/>
        <w:bottom w:val="none" w:sz="0" w:space="0" w:color="auto"/>
        <w:right w:val="none" w:sz="0" w:space="0" w:color="auto"/>
      </w:divBdr>
    </w:div>
    <w:div w:id="14304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1647</Words>
  <Characters>9061</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PIL</vt:lpstr>
      <vt:lpstr>PIL</vt:lpstr>
    </vt:vector>
  </TitlesOfParts>
  <Company>Dafra Pharma</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dc:title>
  <dc:subject>SCETIV2</dc:subject>
  <dc:creator>Nelly Van Gompel</dc:creator>
  <cp:keywords/>
  <dc:description/>
  <cp:lastModifiedBy>Karin Van Halewijck</cp:lastModifiedBy>
  <cp:revision>4</cp:revision>
  <cp:lastPrinted>2019-10-01T10:14:00Z</cp:lastPrinted>
  <dcterms:created xsi:type="dcterms:W3CDTF">2020-05-08T10:07:00Z</dcterms:created>
  <dcterms:modified xsi:type="dcterms:W3CDTF">2020-05-08T10:17:00Z</dcterms:modified>
  <cp:version>10-2019</cp:version>
</cp:coreProperties>
</file>