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8D" w:rsidRPr="00082753" w:rsidRDefault="00282B8D" w:rsidP="002E5678">
      <w:pPr>
        <w:suppressAutoHyphens/>
        <w:spacing w:line="276" w:lineRule="auto"/>
        <w:ind w:left="567" w:hanging="567"/>
        <w:jc w:val="center"/>
        <w:rPr>
          <w:rFonts w:asciiTheme="minorHAnsi" w:hAnsiTheme="minorHAnsi"/>
          <w:b/>
          <w:bCs/>
          <w:sz w:val="24"/>
          <w:szCs w:val="24"/>
        </w:rPr>
      </w:pPr>
      <w:r w:rsidRPr="00082753">
        <w:rPr>
          <w:rFonts w:asciiTheme="minorHAnsi" w:hAnsiTheme="minorHAnsi"/>
          <w:b/>
          <w:bCs/>
          <w:sz w:val="24"/>
          <w:szCs w:val="24"/>
        </w:rPr>
        <w:t>R</w:t>
      </w:r>
      <w:r w:rsidR="000528D6" w:rsidRPr="00082753">
        <w:rPr>
          <w:rFonts w:asciiTheme="minorHAnsi" w:hAnsiTheme="minorHAnsi"/>
          <w:b/>
          <w:bCs/>
          <w:sz w:val="24"/>
          <w:szCs w:val="24"/>
        </w:rPr>
        <w:t>É</w:t>
      </w:r>
      <w:r w:rsidRPr="00082753">
        <w:rPr>
          <w:rFonts w:asciiTheme="minorHAnsi" w:hAnsiTheme="minorHAnsi"/>
          <w:b/>
          <w:bCs/>
          <w:sz w:val="24"/>
          <w:szCs w:val="24"/>
        </w:rPr>
        <w:t>SUM</w:t>
      </w:r>
      <w:r w:rsidR="000528D6" w:rsidRPr="00082753">
        <w:rPr>
          <w:rFonts w:asciiTheme="minorHAnsi" w:hAnsiTheme="minorHAnsi"/>
          <w:b/>
          <w:bCs/>
          <w:sz w:val="24"/>
          <w:szCs w:val="24"/>
        </w:rPr>
        <w:t>É</w:t>
      </w:r>
      <w:r w:rsidRPr="00082753">
        <w:rPr>
          <w:rFonts w:asciiTheme="minorHAnsi" w:hAnsiTheme="minorHAnsi"/>
          <w:b/>
          <w:bCs/>
          <w:sz w:val="24"/>
          <w:szCs w:val="24"/>
        </w:rPr>
        <w:t xml:space="preserve"> DES CARACT</w:t>
      </w:r>
      <w:r w:rsidR="000528D6" w:rsidRPr="00082753">
        <w:rPr>
          <w:rFonts w:asciiTheme="minorHAnsi" w:hAnsiTheme="minorHAnsi"/>
          <w:b/>
          <w:bCs/>
          <w:sz w:val="24"/>
          <w:szCs w:val="24"/>
        </w:rPr>
        <w:t>É</w:t>
      </w:r>
      <w:r w:rsidRPr="00082753">
        <w:rPr>
          <w:rFonts w:asciiTheme="minorHAnsi" w:hAnsiTheme="minorHAnsi"/>
          <w:b/>
          <w:bCs/>
          <w:sz w:val="24"/>
          <w:szCs w:val="24"/>
        </w:rPr>
        <w:t>RISTIQUES DU PRODUIT</w:t>
      </w: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1.</w:t>
      </w:r>
      <w:r w:rsidRPr="00082753">
        <w:rPr>
          <w:rFonts w:asciiTheme="minorHAnsi" w:hAnsiTheme="minorHAnsi"/>
          <w:b/>
          <w:sz w:val="24"/>
          <w:szCs w:val="24"/>
        </w:rPr>
        <w:tab/>
        <w:t>D</w:t>
      </w:r>
      <w:r w:rsidR="000528D6" w:rsidRPr="00082753">
        <w:rPr>
          <w:rFonts w:asciiTheme="minorHAnsi" w:hAnsiTheme="minorHAnsi"/>
          <w:b/>
          <w:sz w:val="24"/>
          <w:szCs w:val="24"/>
        </w:rPr>
        <w:t>É</w:t>
      </w:r>
      <w:r w:rsidRPr="00082753">
        <w:rPr>
          <w:rFonts w:asciiTheme="minorHAnsi" w:hAnsiTheme="minorHAnsi"/>
          <w:b/>
          <w:sz w:val="24"/>
          <w:szCs w:val="24"/>
        </w:rPr>
        <w:t>NOMINATION DU M</w:t>
      </w:r>
      <w:r w:rsidR="000748BF" w:rsidRPr="00082753">
        <w:rPr>
          <w:rFonts w:asciiTheme="minorHAnsi" w:hAnsiTheme="minorHAnsi"/>
          <w:b/>
          <w:sz w:val="24"/>
          <w:szCs w:val="24"/>
        </w:rPr>
        <w:t>É</w:t>
      </w:r>
      <w:r w:rsidRPr="00082753">
        <w:rPr>
          <w:rFonts w:asciiTheme="minorHAnsi" w:hAnsiTheme="minorHAnsi"/>
          <w:b/>
          <w:sz w:val="24"/>
          <w:szCs w:val="24"/>
        </w:rPr>
        <w:t>DICAMENT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B5CC6" w:rsidRPr="00082753" w:rsidRDefault="00AF6E79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ab/>
      </w:r>
      <w:proofErr w:type="spellStart"/>
      <w:r w:rsidR="00EB5CC6" w:rsidRPr="00082753">
        <w:rPr>
          <w:rFonts w:asciiTheme="minorHAnsi" w:hAnsiTheme="minorHAnsi"/>
          <w:sz w:val="24"/>
          <w:szCs w:val="24"/>
        </w:rPr>
        <w:t>Terbinol</w:t>
      </w:r>
      <w:proofErr w:type="spellEnd"/>
    </w:p>
    <w:p w:rsidR="00282B8D" w:rsidRPr="00082753" w:rsidRDefault="00EB5CC6" w:rsidP="00EB5CC6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82753">
        <w:rPr>
          <w:rFonts w:asciiTheme="minorHAnsi" w:hAnsiTheme="minorHAnsi"/>
          <w:i/>
          <w:sz w:val="24"/>
          <w:szCs w:val="24"/>
        </w:rPr>
        <w:t>Terbinafine</w:t>
      </w:r>
      <w:proofErr w:type="spellEnd"/>
      <w:r w:rsidR="0089349A" w:rsidRPr="00082753">
        <w:rPr>
          <w:rFonts w:asciiTheme="minorHAnsi" w:hAnsiTheme="minorHAnsi"/>
          <w:sz w:val="24"/>
          <w:szCs w:val="24"/>
        </w:rPr>
        <w:t>.</w:t>
      </w: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2.</w:t>
      </w:r>
      <w:r w:rsidRPr="00082753">
        <w:rPr>
          <w:rFonts w:asciiTheme="minorHAnsi" w:hAnsiTheme="minorHAnsi"/>
          <w:b/>
          <w:sz w:val="24"/>
          <w:szCs w:val="24"/>
        </w:rPr>
        <w:tab/>
        <w:t>COMPOSITION QUALITATIVE ET QUANTITATIVE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E5678" w:rsidRPr="00082753" w:rsidRDefault="002E5678" w:rsidP="002E567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Chaque comprimé contient 250 mg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équivalent à 281,28 mg de chlorhydrate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.</w:t>
      </w:r>
    </w:p>
    <w:p w:rsidR="002E5678" w:rsidRPr="00082753" w:rsidRDefault="002E5678" w:rsidP="002E567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Pour la liste complète des excipients, </w:t>
      </w:r>
      <w:bookmarkStart w:id="0" w:name="_GoBack"/>
      <w:r w:rsidRPr="00082753">
        <w:rPr>
          <w:rFonts w:asciiTheme="minorHAnsi" w:hAnsiTheme="minorHAnsi"/>
          <w:sz w:val="24"/>
          <w:szCs w:val="24"/>
        </w:rPr>
        <w:t>voir</w:t>
      </w:r>
      <w:bookmarkEnd w:id="0"/>
      <w:r w:rsidRPr="00082753">
        <w:rPr>
          <w:rFonts w:asciiTheme="minorHAnsi" w:hAnsiTheme="minorHAnsi"/>
          <w:sz w:val="24"/>
          <w:szCs w:val="24"/>
        </w:rPr>
        <w:t xml:space="preserve"> rubrique 6.1.</w:t>
      </w:r>
    </w:p>
    <w:p w:rsidR="002E5678" w:rsidRPr="00082753" w:rsidRDefault="002E5678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3.</w:t>
      </w:r>
      <w:r w:rsidRPr="00082753">
        <w:rPr>
          <w:rFonts w:asciiTheme="minorHAnsi" w:hAnsiTheme="minorHAnsi"/>
          <w:b/>
          <w:sz w:val="24"/>
          <w:szCs w:val="24"/>
        </w:rPr>
        <w:tab/>
        <w:t>FORME PHARMACEUTIQUE</w:t>
      </w:r>
      <w:r w:rsidR="000528D6" w:rsidRPr="00082753">
        <w:rPr>
          <w:rFonts w:asciiTheme="minorHAnsi" w:hAnsiTheme="minorHAnsi"/>
          <w:b/>
          <w:sz w:val="24"/>
          <w:szCs w:val="24"/>
        </w:rPr>
        <w:t xml:space="preserve"> ET PRÉSENTATION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E5678" w:rsidRPr="00082753" w:rsidRDefault="002E5678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Comprimé sécable.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</w:t>
      </w:r>
      <w:r w:rsidRPr="00082753">
        <w:rPr>
          <w:rFonts w:asciiTheme="minorHAnsi" w:hAnsiTheme="minorHAnsi"/>
          <w:b/>
          <w:sz w:val="24"/>
          <w:szCs w:val="24"/>
        </w:rPr>
        <w:tab/>
        <w:t>DONN</w:t>
      </w:r>
      <w:r w:rsidR="000528D6" w:rsidRPr="00082753">
        <w:rPr>
          <w:rFonts w:asciiTheme="minorHAnsi" w:hAnsiTheme="minorHAnsi"/>
          <w:b/>
          <w:sz w:val="24"/>
          <w:szCs w:val="24"/>
        </w:rPr>
        <w:t>É</w:t>
      </w:r>
      <w:r w:rsidRPr="00082753">
        <w:rPr>
          <w:rFonts w:asciiTheme="minorHAnsi" w:hAnsiTheme="minorHAnsi"/>
          <w:b/>
          <w:sz w:val="24"/>
          <w:szCs w:val="24"/>
        </w:rPr>
        <w:t>ES CLINIQUES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4.1</w:t>
      </w:r>
      <w:r w:rsidRPr="00082753">
        <w:rPr>
          <w:rFonts w:asciiTheme="minorHAnsi" w:hAnsiTheme="minorHAnsi"/>
          <w:b/>
          <w:sz w:val="24"/>
          <w:szCs w:val="24"/>
        </w:rPr>
        <w:tab/>
        <w:t>Indications thérapeutiques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E5678" w:rsidRPr="00082753" w:rsidRDefault="002E5678" w:rsidP="002E5678">
      <w:pPr>
        <w:pStyle w:val="ListParagraph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Infections fongiques de la peau et des cheveux, provoquées par des </w:t>
      </w:r>
      <w:proofErr w:type="spellStart"/>
      <w:r w:rsidRPr="00082753">
        <w:rPr>
          <w:rFonts w:asciiTheme="minorHAnsi" w:hAnsiTheme="minorHAnsi"/>
          <w:sz w:val="24"/>
          <w:szCs w:val="24"/>
        </w:rPr>
        <w:t>dermatophytes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tels que Trichophyton (p. ex. T. </w:t>
      </w:r>
      <w:proofErr w:type="spellStart"/>
      <w:r w:rsidRPr="00082753">
        <w:rPr>
          <w:rFonts w:asciiTheme="minorHAnsi" w:hAnsiTheme="minorHAnsi"/>
          <w:sz w:val="24"/>
          <w:szCs w:val="24"/>
        </w:rPr>
        <w:t>rubrum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T. </w:t>
      </w:r>
      <w:proofErr w:type="spellStart"/>
      <w:r w:rsidRPr="00082753">
        <w:rPr>
          <w:rFonts w:asciiTheme="minorHAnsi" w:hAnsiTheme="minorHAnsi"/>
          <w:sz w:val="24"/>
          <w:szCs w:val="24"/>
        </w:rPr>
        <w:t>mentagrophytes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T. </w:t>
      </w:r>
      <w:proofErr w:type="spellStart"/>
      <w:r w:rsidRPr="00082753">
        <w:rPr>
          <w:rFonts w:asciiTheme="minorHAnsi" w:hAnsiTheme="minorHAnsi"/>
          <w:sz w:val="24"/>
          <w:szCs w:val="24"/>
        </w:rPr>
        <w:t>verrucosum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T. </w:t>
      </w:r>
      <w:proofErr w:type="spellStart"/>
      <w:r w:rsidRPr="00082753">
        <w:rPr>
          <w:rFonts w:asciiTheme="minorHAnsi" w:hAnsiTheme="minorHAnsi"/>
          <w:sz w:val="24"/>
          <w:szCs w:val="24"/>
        </w:rPr>
        <w:t>tonsurans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T. </w:t>
      </w:r>
      <w:proofErr w:type="spellStart"/>
      <w:r w:rsidRPr="00082753">
        <w:rPr>
          <w:rFonts w:asciiTheme="minorHAnsi" w:hAnsiTheme="minorHAnsi"/>
          <w:sz w:val="24"/>
          <w:szCs w:val="24"/>
        </w:rPr>
        <w:t>violaceum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), </w:t>
      </w:r>
      <w:proofErr w:type="spellStart"/>
      <w:r w:rsidRPr="00082753">
        <w:rPr>
          <w:rFonts w:asciiTheme="minorHAnsi" w:hAnsiTheme="minorHAnsi"/>
          <w:sz w:val="24"/>
          <w:szCs w:val="24"/>
        </w:rPr>
        <w:t>Microsporum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canis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et </w:t>
      </w:r>
      <w:proofErr w:type="spellStart"/>
      <w:r w:rsidRPr="00082753">
        <w:rPr>
          <w:rFonts w:asciiTheme="minorHAnsi" w:hAnsiTheme="minorHAnsi"/>
          <w:sz w:val="24"/>
          <w:szCs w:val="24"/>
        </w:rPr>
        <w:t>Epidermophyton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floccosum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r w:rsidR="00B4353F" w:rsidRPr="00082753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="00B4353F" w:rsidRPr="00082753">
        <w:rPr>
          <w:rFonts w:asciiTheme="minorHAnsi" w:hAnsiTheme="minorHAnsi"/>
          <w:sz w:val="24"/>
          <w:szCs w:val="24"/>
        </w:rPr>
        <w:t>tinea</w:t>
      </w:r>
      <w:proofErr w:type="spellEnd"/>
      <w:r w:rsidR="00B4353F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4353F" w:rsidRPr="00082753">
        <w:rPr>
          <w:rFonts w:asciiTheme="minorHAnsi" w:hAnsiTheme="minorHAnsi"/>
          <w:sz w:val="24"/>
          <w:szCs w:val="24"/>
        </w:rPr>
        <w:t>corporis</w:t>
      </w:r>
      <w:proofErr w:type="spellEnd"/>
      <w:r w:rsidR="00B4353F" w:rsidRPr="0008275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4353F" w:rsidRPr="00082753">
        <w:rPr>
          <w:rFonts w:asciiTheme="minorHAnsi" w:hAnsiTheme="minorHAnsi"/>
          <w:sz w:val="24"/>
          <w:szCs w:val="24"/>
        </w:rPr>
        <w:t>cruris</w:t>
      </w:r>
      <w:proofErr w:type="spellEnd"/>
      <w:r w:rsidR="00B4353F" w:rsidRPr="0008275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4353F" w:rsidRPr="00082753">
        <w:rPr>
          <w:rFonts w:asciiTheme="minorHAnsi" w:hAnsiTheme="minorHAnsi"/>
          <w:sz w:val="24"/>
          <w:szCs w:val="24"/>
        </w:rPr>
        <w:t>pedis</w:t>
      </w:r>
      <w:proofErr w:type="spellEnd"/>
      <w:r w:rsidRPr="00082753">
        <w:rPr>
          <w:rFonts w:asciiTheme="minorHAnsi" w:hAnsiTheme="minorHAnsi"/>
          <w:sz w:val="24"/>
          <w:szCs w:val="24"/>
        </w:rPr>
        <w:t>.</w:t>
      </w:r>
    </w:p>
    <w:p w:rsidR="002E5678" w:rsidRPr="00082753" w:rsidRDefault="002E5678" w:rsidP="002E5678">
      <w:pPr>
        <w:pStyle w:val="ListParagraph"/>
        <w:suppressAutoHyphens/>
        <w:spacing w:line="276" w:lineRule="auto"/>
        <w:ind w:left="927"/>
        <w:jc w:val="both"/>
        <w:rPr>
          <w:rFonts w:asciiTheme="minorHAnsi" w:hAnsiTheme="minorHAnsi"/>
          <w:sz w:val="24"/>
          <w:szCs w:val="24"/>
        </w:rPr>
      </w:pPr>
    </w:p>
    <w:p w:rsidR="002E5678" w:rsidRPr="00082753" w:rsidRDefault="002E5678" w:rsidP="002E5678">
      <w:pPr>
        <w:pStyle w:val="ListParagraph"/>
        <w:numPr>
          <w:ilvl w:val="0"/>
          <w:numId w:val="4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Infections fongiques des ongles : onychomycoses induites par des </w:t>
      </w:r>
      <w:proofErr w:type="spellStart"/>
      <w:r w:rsidRPr="00082753">
        <w:rPr>
          <w:rFonts w:asciiTheme="minorHAnsi" w:hAnsiTheme="minorHAnsi"/>
          <w:sz w:val="24"/>
          <w:szCs w:val="24"/>
        </w:rPr>
        <w:t>dermatophytes</w:t>
      </w:r>
      <w:proofErr w:type="spellEnd"/>
      <w:r w:rsidRPr="00082753">
        <w:rPr>
          <w:rFonts w:asciiTheme="minorHAnsi" w:hAnsiTheme="minorHAnsi"/>
          <w:sz w:val="24"/>
          <w:szCs w:val="24"/>
        </w:rPr>
        <w:t>.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4.2</w:t>
      </w:r>
      <w:r w:rsidRPr="00082753">
        <w:rPr>
          <w:rFonts w:asciiTheme="minorHAnsi" w:hAnsiTheme="minorHAnsi"/>
          <w:b/>
          <w:sz w:val="24"/>
          <w:szCs w:val="24"/>
        </w:rPr>
        <w:tab/>
        <w:t>Posologie et mode d’administration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1134" w:hanging="567"/>
        <w:jc w:val="both"/>
        <w:rPr>
          <w:rFonts w:asciiTheme="minorHAnsi" w:hAnsiTheme="minorHAnsi"/>
          <w:noProof/>
          <w:sz w:val="24"/>
          <w:szCs w:val="24"/>
          <w:u w:val="single"/>
        </w:rPr>
      </w:pPr>
      <w:r w:rsidRPr="00082753">
        <w:rPr>
          <w:rFonts w:asciiTheme="minorHAnsi" w:hAnsiTheme="minorHAnsi"/>
          <w:noProof/>
          <w:sz w:val="24"/>
          <w:szCs w:val="24"/>
          <w:u w:val="single"/>
        </w:rPr>
        <w:t>Posologie</w:t>
      </w:r>
    </w:p>
    <w:p w:rsidR="00282B8D" w:rsidRPr="00082753" w:rsidRDefault="00282B8D" w:rsidP="002E5678">
      <w:pPr>
        <w:spacing w:line="276" w:lineRule="auto"/>
        <w:jc w:val="both"/>
        <w:rPr>
          <w:rFonts w:asciiTheme="minorHAnsi" w:hAnsiTheme="minorHAnsi"/>
          <w:noProof/>
          <w:sz w:val="24"/>
          <w:szCs w:val="24"/>
          <w:u w:val="single"/>
        </w:rPr>
      </w:pPr>
    </w:p>
    <w:p w:rsidR="00BE248A" w:rsidRPr="00082753" w:rsidRDefault="00BE248A" w:rsidP="00F5468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noProof/>
          <w:sz w:val="24"/>
          <w:szCs w:val="24"/>
        </w:rPr>
      </w:pPr>
      <w:r w:rsidRPr="00082753">
        <w:rPr>
          <w:rFonts w:asciiTheme="minorHAnsi" w:hAnsiTheme="minorHAnsi"/>
          <w:b/>
          <w:noProof/>
          <w:sz w:val="24"/>
          <w:szCs w:val="24"/>
        </w:rPr>
        <w:t>Adultes</w:t>
      </w:r>
      <w:r w:rsidR="00A2152E" w:rsidRPr="00082753">
        <w:rPr>
          <w:rFonts w:asciiTheme="minorHAnsi" w:hAnsiTheme="minorHAnsi"/>
          <w:b/>
          <w:noProof/>
          <w:sz w:val="24"/>
          <w:szCs w:val="24"/>
        </w:rPr>
        <w:t xml:space="preserve"> et enfants de âgés de plus de doux ans</w:t>
      </w:r>
    </w:p>
    <w:p w:rsidR="00BE248A" w:rsidRPr="00082753" w:rsidRDefault="00BE248A" w:rsidP="00F54680">
      <w:pPr>
        <w:spacing w:line="276" w:lineRule="auto"/>
        <w:ind w:left="92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1 comprimé à 250 mg, une fois par jour.</w:t>
      </w:r>
    </w:p>
    <w:p w:rsidR="00BE248A" w:rsidRPr="00082753" w:rsidRDefault="00BE248A" w:rsidP="00BE248A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</w:p>
    <w:p w:rsidR="00BE248A" w:rsidRPr="00082753" w:rsidRDefault="00BE248A" w:rsidP="00F5468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noProof/>
          <w:sz w:val="24"/>
          <w:szCs w:val="24"/>
        </w:rPr>
      </w:pPr>
      <w:r w:rsidRPr="00082753">
        <w:rPr>
          <w:rFonts w:asciiTheme="minorHAnsi" w:hAnsiTheme="minorHAnsi"/>
          <w:b/>
          <w:noProof/>
          <w:sz w:val="24"/>
          <w:szCs w:val="24"/>
        </w:rPr>
        <w:t>Population pédiatrique</w:t>
      </w:r>
    </w:p>
    <w:p w:rsidR="00BE248A" w:rsidRPr="00082753" w:rsidRDefault="00BE248A" w:rsidP="00F54680">
      <w:pPr>
        <w:spacing w:line="276" w:lineRule="auto"/>
        <w:ind w:left="927"/>
        <w:jc w:val="both"/>
        <w:rPr>
          <w:rFonts w:asciiTheme="minorHAnsi" w:hAnsiTheme="minorHAnsi"/>
          <w:i/>
          <w:noProof/>
          <w:sz w:val="24"/>
          <w:szCs w:val="24"/>
        </w:rPr>
      </w:pPr>
      <w:r w:rsidRPr="00082753">
        <w:rPr>
          <w:rFonts w:asciiTheme="minorHAnsi" w:hAnsiTheme="minorHAnsi"/>
          <w:i/>
          <w:noProof/>
          <w:sz w:val="24"/>
          <w:szCs w:val="24"/>
        </w:rPr>
        <w:t>Enfants de moins de 2 ans:</w:t>
      </w:r>
    </w:p>
    <w:p w:rsidR="00BE248A" w:rsidRPr="00082753" w:rsidRDefault="00BE248A" w:rsidP="00F54680">
      <w:pPr>
        <w:spacing w:line="276" w:lineRule="auto"/>
        <w:ind w:left="92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Pour les enfants de moins de 2 ans (de poids en général inférieur à 12 kg): il n’existe aucune donnée.</w:t>
      </w:r>
    </w:p>
    <w:p w:rsidR="00BE248A" w:rsidRPr="00082753" w:rsidRDefault="00BE248A" w:rsidP="00F54680">
      <w:pPr>
        <w:spacing w:line="276" w:lineRule="auto"/>
        <w:ind w:left="927"/>
        <w:jc w:val="both"/>
        <w:rPr>
          <w:rFonts w:asciiTheme="minorHAnsi" w:hAnsiTheme="minorHAnsi"/>
          <w:noProof/>
          <w:sz w:val="24"/>
          <w:szCs w:val="24"/>
        </w:rPr>
      </w:pPr>
    </w:p>
    <w:p w:rsidR="00BE248A" w:rsidRPr="00082753" w:rsidRDefault="00BE248A" w:rsidP="00F54680">
      <w:pPr>
        <w:spacing w:line="276" w:lineRule="auto"/>
        <w:ind w:left="927"/>
        <w:jc w:val="both"/>
        <w:rPr>
          <w:rFonts w:asciiTheme="minorHAnsi" w:hAnsiTheme="minorHAnsi"/>
          <w:i/>
          <w:noProof/>
          <w:sz w:val="24"/>
          <w:szCs w:val="24"/>
        </w:rPr>
      </w:pPr>
      <w:r w:rsidRPr="00082753">
        <w:rPr>
          <w:rFonts w:asciiTheme="minorHAnsi" w:hAnsiTheme="minorHAnsi"/>
          <w:i/>
          <w:noProof/>
          <w:sz w:val="24"/>
          <w:szCs w:val="24"/>
        </w:rPr>
        <w:t>Enfants de plus de 2 ans:</w:t>
      </w:r>
    </w:p>
    <w:p w:rsidR="00BE248A" w:rsidRPr="00082753" w:rsidRDefault="00BE248A" w:rsidP="00F54680">
      <w:pPr>
        <w:pStyle w:val="ListParagraph"/>
        <w:numPr>
          <w:ilvl w:val="0"/>
          <w:numId w:val="5"/>
        </w:numPr>
        <w:spacing w:line="276" w:lineRule="auto"/>
        <w:ind w:left="128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Pour les enfants pesant moins de 20 kg</w:t>
      </w:r>
      <w:r w:rsidR="00A2152E" w:rsidRPr="00082753">
        <w:rPr>
          <w:rFonts w:asciiTheme="minorHAnsi" w:hAnsiTheme="minorHAnsi"/>
          <w:noProof/>
          <w:sz w:val="24"/>
          <w:szCs w:val="24"/>
        </w:rPr>
        <w:t xml:space="preserve">: l’utilisation de Terbinol 250 </w:t>
      </w:r>
      <w:r w:rsidRPr="00082753">
        <w:rPr>
          <w:rFonts w:asciiTheme="minorHAnsi" w:hAnsiTheme="minorHAnsi"/>
          <w:noProof/>
          <w:sz w:val="24"/>
          <w:szCs w:val="24"/>
        </w:rPr>
        <w:t>mg Comprimés n'est pas recommandée car aucune formulation adaptée n’est disponible, puisque ces comprimés ne peuvent être divisés en 4 pour obtenir un dosage de 62,5 mg.</w:t>
      </w:r>
    </w:p>
    <w:p w:rsidR="00BE248A" w:rsidRPr="00082753" w:rsidRDefault="00BE248A" w:rsidP="00F54680">
      <w:pPr>
        <w:pStyle w:val="ListParagraph"/>
        <w:numPr>
          <w:ilvl w:val="0"/>
          <w:numId w:val="5"/>
        </w:numPr>
        <w:spacing w:line="276" w:lineRule="auto"/>
        <w:ind w:left="128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Pour les enfants pesant de 20 à 40 kg: 125 mg (= un demi comprimé à 250 mg), une fois par jour.</w:t>
      </w:r>
    </w:p>
    <w:p w:rsidR="00BE248A" w:rsidRPr="00082753" w:rsidRDefault="00BE248A" w:rsidP="00F54680">
      <w:pPr>
        <w:pStyle w:val="ListParagraph"/>
        <w:numPr>
          <w:ilvl w:val="0"/>
          <w:numId w:val="5"/>
        </w:numPr>
        <w:spacing w:line="276" w:lineRule="auto"/>
        <w:ind w:left="128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Pour les enfants pesant plus de 40 kg: 1 comprimé à 250 mg, une fois par jour.</w:t>
      </w:r>
    </w:p>
    <w:p w:rsidR="00BE248A" w:rsidRPr="00082753" w:rsidRDefault="00BE248A" w:rsidP="00BE248A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</w:p>
    <w:p w:rsidR="00BE248A" w:rsidRPr="00082753" w:rsidRDefault="00BE248A" w:rsidP="00041BBF">
      <w:pPr>
        <w:spacing w:line="276" w:lineRule="auto"/>
        <w:ind w:left="567"/>
        <w:jc w:val="both"/>
        <w:rPr>
          <w:rFonts w:asciiTheme="minorHAnsi" w:hAnsiTheme="minorHAnsi"/>
          <w:b/>
          <w:noProof/>
          <w:sz w:val="24"/>
          <w:szCs w:val="24"/>
        </w:rPr>
      </w:pPr>
      <w:r w:rsidRPr="00082753">
        <w:rPr>
          <w:rFonts w:asciiTheme="minorHAnsi" w:hAnsiTheme="minorHAnsi"/>
          <w:b/>
          <w:noProof/>
          <w:sz w:val="24"/>
          <w:szCs w:val="24"/>
        </w:rPr>
        <w:t>La durée de traitement</w:t>
      </w:r>
    </w:p>
    <w:p w:rsidR="00BE248A" w:rsidRPr="00082753" w:rsidRDefault="00BE248A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La durée du traitement varie en fonction de l’indication et de la sévérité de l’infection:</w:t>
      </w:r>
    </w:p>
    <w:p w:rsidR="00BE248A" w:rsidRPr="00082753" w:rsidRDefault="00BE248A" w:rsidP="00041BBF">
      <w:pPr>
        <w:pStyle w:val="ListParagraph"/>
        <w:numPr>
          <w:ilvl w:val="0"/>
          <w:numId w:val="6"/>
        </w:numPr>
        <w:spacing w:line="276" w:lineRule="auto"/>
        <w:ind w:left="993" w:hanging="426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Infections cutanées (Tinea pedis, manuum, corporis, cruris): 1 à 2 semaines.</w:t>
      </w:r>
      <w:r w:rsidR="002F1F68" w:rsidRPr="00082753">
        <w:rPr>
          <w:rFonts w:asciiTheme="minorHAnsi" w:hAnsiTheme="minorHAnsi"/>
          <w:noProof/>
          <w:sz w:val="24"/>
          <w:szCs w:val="24"/>
        </w:rPr>
        <w:t xml:space="preserve"> </w:t>
      </w:r>
      <w:r w:rsidRPr="00082753">
        <w:rPr>
          <w:rFonts w:asciiTheme="minorHAnsi" w:hAnsiTheme="minorHAnsi"/>
          <w:noProof/>
          <w:sz w:val="24"/>
          <w:szCs w:val="24"/>
        </w:rPr>
        <w:t>La disparition complète des signes et symptômes de l’infection se manifeste plusieurs semaines après la</w:t>
      </w:r>
      <w:r w:rsidR="002F1F68" w:rsidRPr="00082753">
        <w:rPr>
          <w:rFonts w:asciiTheme="minorHAnsi" w:hAnsiTheme="minorHAnsi"/>
          <w:noProof/>
          <w:sz w:val="24"/>
          <w:szCs w:val="24"/>
        </w:rPr>
        <w:t xml:space="preserve"> </w:t>
      </w:r>
      <w:r w:rsidRPr="00082753">
        <w:rPr>
          <w:rFonts w:asciiTheme="minorHAnsi" w:hAnsiTheme="minorHAnsi"/>
          <w:noProof/>
          <w:sz w:val="24"/>
          <w:szCs w:val="24"/>
        </w:rPr>
        <w:t>guérison mycologique.</w:t>
      </w:r>
    </w:p>
    <w:p w:rsidR="00BE248A" w:rsidRPr="00082753" w:rsidRDefault="00BE248A" w:rsidP="00E94B6B">
      <w:pPr>
        <w:pStyle w:val="ListParagraph"/>
        <w:numPr>
          <w:ilvl w:val="0"/>
          <w:numId w:val="6"/>
        </w:numPr>
        <w:spacing w:line="276" w:lineRule="auto"/>
        <w:ind w:left="993" w:hanging="426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Infection des cheveux et du cuir chevelu (Tinea capitis): 4 semaines.</w:t>
      </w:r>
      <w:r w:rsidR="00A2152E" w:rsidRPr="00082753">
        <w:rPr>
          <w:rFonts w:asciiTheme="minorHAnsi" w:hAnsiTheme="minorHAnsi"/>
          <w:noProof/>
          <w:sz w:val="24"/>
          <w:szCs w:val="24"/>
        </w:rPr>
        <w:t xml:space="preserve"> </w:t>
      </w:r>
      <w:r w:rsidRPr="00082753">
        <w:rPr>
          <w:rFonts w:asciiTheme="minorHAnsi" w:hAnsiTheme="minorHAnsi"/>
          <w:noProof/>
          <w:sz w:val="24"/>
          <w:szCs w:val="24"/>
        </w:rPr>
        <w:t>Tinea capitis s’observe plus particulièrement chez les enfants.</w:t>
      </w:r>
    </w:p>
    <w:p w:rsidR="00BE248A" w:rsidRPr="00082753" w:rsidRDefault="00BE248A" w:rsidP="00041BBF">
      <w:pPr>
        <w:pStyle w:val="ListParagraph"/>
        <w:numPr>
          <w:ilvl w:val="0"/>
          <w:numId w:val="6"/>
        </w:numPr>
        <w:spacing w:line="276" w:lineRule="auto"/>
        <w:ind w:left="993" w:hanging="426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Onychomycoses:</w:t>
      </w:r>
    </w:p>
    <w:p w:rsidR="00BE248A" w:rsidRPr="00082753" w:rsidRDefault="00BE248A" w:rsidP="00041BBF">
      <w:pPr>
        <w:pStyle w:val="ListParagraph"/>
        <w:numPr>
          <w:ilvl w:val="0"/>
          <w:numId w:val="17"/>
        </w:numPr>
        <w:spacing w:line="276" w:lineRule="auto"/>
        <w:ind w:left="1418" w:hanging="426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Ongles des orteils: jusqu’à 12 semaines.</w:t>
      </w:r>
    </w:p>
    <w:p w:rsidR="00BE248A" w:rsidRPr="00082753" w:rsidRDefault="00BE248A" w:rsidP="00041BBF">
      <w:pPr>
        <w:pStyle w:val="ListParagraph"/>
        <w:numPr>
          <w:ilvl w:val="0"/>
          <w:numId w:val="17"/>
        </w:numPr>
        <w:spacing w:line="276" w:lineRule="auto"/>
        <w:ind w:left="1418" w:hanging="426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Ongles des doigts: 6 à 16 semaines</w:t>
      </w:r>
    </w:p>
    <w:p w:rsidR="00BE248A" w:rsidRPr="00082753" w:rsidRDefault="002F1F68" w:rsidP="00A2152E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L’effet clinique complet n’est observé que quelques mois après l’arrêt du traitement. Cette période correspond au temps nécessaire à la croissance d’un ongle sain.</w:t>
      </w: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</w:p>
    <w:p w:rsidR="00F54680" w:rsidRPr="00082753" w:rsidRDefault="00F54680" w:rsidP="00041BBF">
      <w:pPr>
        <w:pStyle w:val="ListParagraph"/>
        <w:spacing w:line="276" w:lineRule="auto"/>
        <w:ind w:left="567"/>
        <w:jc w:val="both"/>
        <w:rPr>
          <w:rFonts w:asciiTheme="minorHAnsi" w:hAnsiTheme="minorHAnsi"/>
          <w:b/>
          <w:noProof/>
          <w:sz w:val="24"/>
          <w:szCs w:val="24"/>
        </w:rPr>
      </w:pPr>
      <w:r w:rsidRPr="00082753">
        <w:rPr>
          <w:rFonts w:asciiTheme="minorHAnsi" w:hAnsiTheme="minorHAnsi"/>
          <w:b/>
          <w:noProof/>
          <w:sz w:val="24"/>
          <w:szCs w:val="24"/>
        </w:rPr>
        <w:t>Informations additionnelles relatives aux populations particulières</w:t>
      </w: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  <w:r w:rsidRPr="00082753">
        <w:rPr>
          <w:rFonts w:asciiTheme="minorHAnsi" w:hAnsiTheme="minorHAnsi"/>
          <w:i/>
          <w:noProof/>
          <w:sz w:val="24"/>
          <w:szCs w:val="24"/>
        </w:rPr>
        <w:t>Insuffisance hépatique</w:t>
      </w: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 xml:space="preserve">L’utilisation de </w:t>
      </w:r>
      <w:proofErr w:type="spellStart"/>
      <w:r w:rsidR="00D03643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noProof/>
          <w:sz w:val="24"/>
          <w:szCs w:val="24"/>
        </w:rPr>
        <w:t xml:space="preserve"> est contre-indiquée pour les patients présentant une maladie hépatique chronique ou active.</w:t>
      </w:r>
    </w:p>
    <w:p w:rsidR="00A2152E" w:rsidRPr="00082753" w:rsidRDefault="00A2152E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  <w:r w:rsidRPr="00082753">
        <w:rPr>
          <w:rFonts w:asciiTheme="minorHAnsi" w:hAnsiTheme="minorHAnsi"/>
          <w:i/>
          <w:noProof/>
          <w:sz w:val="24"/>
          <w:szCs w:val="24"/>
        </w:rPr>
        <w:t>Insuffisance rénale</w:t>
      </w: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 xml:space="preserve">L’utilisation de </w:t>
      </w:r>
      <w:r w:rsidR="00D03643" w:rsidRPr="00082753">
        <w:rPr>
          <w:rFonts w:asciiTheme="minorHAnsi" w:hAnsiTheme="minorHAnsi"/>
          <w:noProof/>
          <w:sz w:val="24"/>
          <w:szCs w:val="24"/>
        </w:rPr>
        <w:t>terbinafine n'a pas fait l’objet d’études adéquates chez les patients atteints d’insuffisance rénale (clairance de la créatinine &lt;50 ml/min ou créatinine sérique supérieure à 300 micromoles/l) et n’est donc pas recommandée dans cette population</w:t>
      </w:r>
      <w:r w:rsidR="008F5558" w:rsidRPr="00082753">
        <w:rPr>
          <w:rFonts w:asciiTheme="minorHAnsi" w:hAnsiTheme="minorHAnsi"/>
          <w:noProof/>
          <w:sz w:val="24"/>
          <w:szCs w:val="24"/>
        </w:rPr>
        <w:t>.</w:t>
      </w:r>
    </w:p>
    <w:p w:rsidR="00A2152E" w:rsidRPr="00082753" w:rsidRDefault="00A2152E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  <w:r w:rsidRPr="00082753">
        <w:rPr>
          <w:rFonts w:asciiTheme="minorHAnsi" w:hAnsiTheme="minorHAnsi"/>
          <w:i/>
          <w:noProof/>
          <w:sz w:val="24"/>
          <w:szCs w:val="24"/>
        </w:rPr>
        <w:t>Personnes âgées</w:t>
      </w: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 xml:space="preserve">Rien n’indique que les sujets âgés </w:t>
      </w:r>
      <w:r w:rsidR="00D03643" w:rsidRPr="00082753">
        <w:rPr>
          <w:rFonts w:asciiTheme="minorHAnsi" w:hAnsiTheme="minorHAnsi"/>
          <w:noProof/>
          <w:sz w:val="24"/>
          <w:szCs w:val="24"/>
        </w:rPr>
        <w:t>nécessitent</w:t>
      </w:r>
      <w:r w:rsidRPr="00082753">
        <w:rPr>
          <w:rFonts w:asciiTheme="minorHAnsi" w:hAnsiTheme="minorHAnsi"/>
          <w:noProof/>
          <w:sz w:val="24"/>
          <w:szCs w:val="24"/>
        </w:rPr>
        <w:t xml:space="preserve"> de doses différentes ou qu’ils présentent d’autres effets indésirables que les patients plus jeunes. </w:t>
      </w:r>
      <w:r w:rsidR="00D03643" w:rsidRPr="00082753">
        <w:rPr>
          <w:rFonts w:asciiTheme="minorHAnsi" w:hAnsiTheme="minorHAnsi"/>
          <w:noProof/>
          <w:sz w:val="24"/>
          <w:szCs w:val="24"/>
        </w:rPr>
        <w:t xml:space="preserve">Lorsque Terbinol 250 mg Comprimé est prescrit à des patients âgés, </w:t>
      </w:r>
      <w:r w:rsidRPr="00082753">
        <w:rPr>
          <w:rFonts w:asciiTheme="minorHAnsi" w:hAnsiTheme="minorHAnsi"/>
          <w:noProof/>
          <w:sz w:val="24"/>
          <w:szCs w:val="24"/>
        </w:rPr>
        <w:t>il faut tenir compte d’une éventuelle diminution de la fonction rénale ou hépatique.</w:t>
      </w:r>
    </w:p>
    <w:p w:rsidR="00A2152E" w:rsidRPr="00082753" w:rsidRDefault="00A2152E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i/>
          <w:noProof/>
          <w:sz w:val="24"/>
          <w:szCs w:val="24"/>
        </w:rPr>
      </w:pPr>
      <w:r w:rsidRPr="00082753">
        <w:rPr>
          <w:rFonts w:asciiTheme="minorHAnsi" w:hAnsiTheme="minorHAnsi"/>
          <w:i/>
          <w:noProof/>
          <w:sz w:val="24"/>
          <w:szCs w:val="24"/>
        </w:rPr>
        <w:t>Population pédiatrique</w:t>
      </w:r>
    </w:p>
    <w:p w:rsidR="00F54680" w:rsidRPr="00082753" w:rsidRDefault="00F54680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lastRenderedPageBreak/>
        <w:t>La terbinafine administrée par voie orale est bien tolérée par les enfants de plus de deux ans.</w:t>
      </w:r>
    </w:p>
    <w:p w:rsidR="00282B8D" w:rsidRPr="00082753" w:rsidRDefault="00282B8D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  <w:u w:val="single"/>
        </w:rPr>
      </w:pPr>
    </w:p>
    <w:p w:rsidR="00282B8D" w:rsidRPr="00082753" w:rsidRDefault="00282B8D" w:rsidP="00041BBF">
      <w:pPr>
        <w:spacing w:line="276" w:lineRule="auto"/>
        <w:ind w:left="567"/>
        <w:jc w:val="both"/>
        <w:rPr>
          <w:rFonts w:asciiTheme="minorHAnsi" w:hAnsiTheme="minorHAnsi"/>
          <w:b/>
          <w:noProof/>
          <w:sz w:val="24"/>
          <w:szCs w:val="24"/>
        </w:rPr>
      </w:pPr>
      <w:r w:rsidRPr="00082753">
        <w:rPr>
          <w:rFonts w:asciiTheme="minorHAnsi" w:hAnsiTheme="minorHAnsi"/>
          <w:b/>
          <w:noProof/>
          <w:sz w:val="24"/>
          <w:szCs w:val="24"/>
        </w:rPr>
        <w:t>Mode d’administration</w:t>
      </w:r>
    </w:p>
    <w:p w:rsidR="00282B8D" w:rsidRPr="00082753" w:rsidRDefault="00BE248A" w:rsidP="00041BBF">
      <w:pPr>
        <w:spacing w:line="276" w:lineRule="auto"/>
        <w:ind w:left="567"/>
        <w:jc w:val="both"/>
        <w:rPr>
          <w:rFonts w:asciiTheme="minorHAnsi" w:hAnsiTheme="minorHAnsi"/>
          <w:noProof/>
          <w:sz w:val="24"/>
          <w:szCs w:val="24"/>
        </w:rPr>
      </w:pPr>
      <w:r w:rsidRPr="00082753">
        <w:rPr>
          <w:rFonts w:asciiTheme="minorHAnsi" w:hAnsiTheme="minorHAnsi"/>
          <w:noProof/>
          <w:sz w:val="24"/>
          <w:szCs w:val="24"/>
        </w:rPr>
        <w:t>Les comprimés sécables sont à prendre par voie orale avec un peu d’eau. Ils sont pris de préférence chaque jour à la même heure et peuvent être pris à jeun ou après le repas.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4.3</w:t>
      </w:r>
      <w:r w:rsidRPr="00082753">
        <w:rPr>
          <w:rFonts w:asciiTheme="minorHAnsi" w:hAnsiTheme="minorHAnsi"/>
          <w:b/>
          <w:sz w:val="24"/>
          <w:szCs w:val="24"/>
        </w:rPr>
        <w:tab/>
        <w:t>Contre-indications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D03643" w:rsidRPr="00082753" w:rsidRDefault="00D03643" w:rsidP="005940DF">
      <w:pPr>
        <w:pStyle w:val="ListParagraph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Hypersensibilité à la substance active ou à l’un des excipients mentionnés à la rubrique 6.1.</w:t>
      </w:r>
    </w:p>
    <w:p w:rsidR="00D03643" w:rsidRPr="00082753" w:rsidRDefault="00D03643" w:rsidP="00027DD1">
      <w:pPr>
        <w:pStyle w:val="ListParagraph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Affections h</w:t>
      </w:r>
      <w:r w:rsidR="00B4353F" w:rsidRPr="00082753">
        <w:rPr>
          <w:rFonts w:asciiTheme="minorHAnsi" w:hAnsiTheme="minorHAnsi"/>
          <w:sz w:val="24"/>
          <w:szCs w:val="24"/>
        </w:rPr>
        <w:t>épatiques chroniques ou actives et i</w:t>
      </w:r>
      <w:r w:rsidRPr="00082753">
        <w:rPr>
          <w:rFonts w:asciiTheme="minorHAnsi" w:hAnsiTheme="minorHAnsi"/>
          <w:sz w:val="24"/>
          <w:szCs w:val="24"/>
        </w:rPr>
        <w:t>nsuffisance hépatique sévère</w:t>
      </w:r>
    </w:p>
    <w:p w:rsidR="00D03643" w:rsidRPr="00082753" w:rsidRDefault="00D03643" w:rsidP="00D03643">
      <w:pPr>
        <w:pStyle w:val="ListParagraph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Insuffisance rénale sévère (clairance de la créatinine &lt;30 ml/min)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4.4</w:t>
      </w:r>
      <w:r w:rsidRPr="00082753">
        <w:rPr>
          <w:rFonts w:asciiTheme="minorHAnsi" w:hAnsiTheme="minorHAnsi"/>
          <w:b/>
          <w:sz w:val="24"/>
          <w:szCs w:val="24"/>
        </w:rPr>
        <w:tab/>
        <w:t>Mises en garde spéciales et précautions d’emploi</w:t>
      </w: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 xml:space="preserve">Infections cutanées et muqueuses à Candida, pityriasis </w:t>
      </w:r>
      <w:proofErr w:type="spellStart"/>
      <w:r w:rsidRPr="00082753">
        <w:rPr>
          <w:rFonts w:asciiTheme="minorHAnsi" w:hAnsiTheme="minorHAnsi"/>
          <w:b/>
          <w:sz w:val="24"/>
          <w:szCs w:val="24"/>
        </w:rPr>
        <w:t>versicolor</w:t>
      </w:r>
      <w:proofErr w:type="spellEnd"/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administrée oralement n’est pas ou est insuffisamment active en cas d’infections cutanées dues à Candida </w:t>
      </w:r>
      <w:proofErr w:type="spellStart"/>
      <w:r w:rsidRPr="00082753">
        <w:rPr>
          <w:rFonts w:asciiTheme="minorHAnsi" w:hAnsiTheme="minorHAnsi"/>
          <w:sz w:val="24"/>
          <w:szCs w:val="24"/>
        </w:rPr>
        <w:t>spp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. </w:t>
      </w:r>
      <w:proofErr w:type="gramStart"/>
      <w:r w:rsidRPr="00082753">
        <w:rPr>
          <w:rFonts w:asciiTheme="minorHAnsi" w:hAnsiTheme="minorHAnsi"/>
          <w:sz w:val="24"/>
          <w:szCs w:val="24"/>
        </w:rPr>
        <w:t>ou</w:t>
      </w:r>
      <w:proofErr w:type="gram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Pityrosporon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ovale (pityriasis </w:t>
      </w:r>
      <w:proofErr w:type="spellStart"/>
      <w:r w:rsidRPr="00082753">
        <w:rPr>
          <w:rFonts w:asciiTheme="minorHAnsi" w:hAnsiTheme="minorHAnsi"/>
          <w:sz w:val="24"/>
          <w:szCs w:val="24"/>
        </w:rPr>
        <w:t>versicolor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), ni en cas d’infections muqueuses dues à Candida </w:t>
      </w:r>
      <w:proofErr w:type="spellStart"/>
      <w:r w:rsidRPr="00082753">
        <w:rPr>
          <w:rFonts w:asciiTheme="minorHAnsi" w:hAnsiTheme="minorHAnsi"/>
          <w:sz w:val="24"/>
          <w:szCs w:val="24"/>
        </w:rPr>
        <w:t>spp</w:t>
      </w:r>
      <w:proofErr w:type="spellEnd"/>
      <w:r w:rsidRPr="00082753">
        <w:rPr>
          <w:rFonts w:asciiTheme="minorHAnsi" w:hAnsiTheme="minorHAnsi"/>
          <w:sz w:val="24"/>
          <w:szCs w:val="24"/>
        </w:rPr>
        <w:t>. (</w:t>
      </w:r>
      <w:proofErr w:type="gramStart"/>
      <w:r w:rsidRPr="00082753">
        <w:rPr>
          <w:rFonts w:asciiTheme="minorHAnsi" w:hAnsiTheme="minorHAnsi"/>
          <w:sz w:val="24"/>
          <w:szCs w:val="24"/>
        </w:rPr>
        <w:t>y</w:t>
      </w:r>
      <w:proofErr w:type="gramEnd"/>
      <w:r w:rsidRPr="00082753">
        <w:rPr>
          <w:rFonts w:asciiTheme="minorHAnsi" w:hAnsiTheme="minorHAnsi"/>
          <w:sz w:val="24"/>
          <w:szCs w:val="24"/>
        </w:rPr>
        <w:t xml:space="preserve"> compris la candidose vaginale).</w:t>
      </w: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Fonction hépatique</w:t>
      </w:r>
    </w:p>
    <w:p w:rsidR="00F63925" w:rsidRPr="00082753" w:rsidRDefault="00D03643" w:rsidP="00F6392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L’utilisation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250 mg comprimés est contre-indiquée chez les patients </w:t>
      </w:r>
      <w:r w:rsidR="00F63925" w:rsidRPr="00082753">
        <w:rPr>
          <w:rFonts w:asciiTheme="minorHAnsi" w:hAnsiTheme="minorHAnsi"/>
          <w:sz w:val="24"/>
          <w:szCs w:val="24"/>
        </w:rPr>
        <w:t>souffrant</w:t>
      </w:r>
      <w:r w:rsidRPr="00082753">
        <w:rPr>
          <w:rFonts w:asciiTheme="minorHAnsi" w:hAnsiTheme="minorHAnsi"/>
          <w:sz w:val="24"/>
          <w:szCs w:val="24"/>
        </w:rPr>
        <w:t xml:space="preserve"> d’une affection hépatique chronique ou active et est contre-indiqué en cas d’insuffisance hépatique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sévère. Avant de prescrire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250 mg  comprimés, il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convient de procéder à une évaluation de la fonction hépatique car une toxicité hépatique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peut survenir chez les patients qui présentent ou non un trouble hépatique préexistant. </w:t>
      </w:r>
      <w:r w:rsidR="00F63925" w:rsidRPr="00082753">
        <w:rPr>
          <w:rFonts w:asciiTheme="minorHAnsi" w:hAnsiTheme="minorHAnsi"/>
          <w:sz w:val="24"/>
          <w:szCs w:val="24"/>
        </w:rPr>
        <w:t>Dès lors,</w:t>
      </w:r>
      <w:r w:rsidRPr="00082753">
        <w:rPr>
          <w:rFonts w:asciiTheme="minorHAnsi" w:hAnsiTheme="minorHAnsi"/>
          <w:sz w:val="24"/>
          <w:szCs w:val="24"/>
        </w:rPr>
        <w:t xml:space="preserve"> </w:t>
      </w:r>
      <w:r w:rsidR="00070084" w:rsidRPr="00082753">
        <w:rPr>
          <w:rFonts w:asciiTheme="minorHAnsi" w:hAnsiTheme="minorHAnsi"/>
          <w:sz w:val="24"/>
          <w:szCs w:val="24"/>
        </w:rPr>
        <w:t>un</w:t>
      </w:r>
      <w:r w:rsidRPr="00082753">
        <w:rPr>
          <w:rFonts w:asciiTheme="minorHAnsi" w:hAnsiTheme="minorHAnsi"/>
          <w:sz w:val="24"/>
          <w:szCs w:val="24"/>
        </w:rPr>
        <w:t xml:space="preserve"> </w:t>
      </w:r>
      <w:r w:rsidR="00F63925" w:rsidRPr="00082753">
        <w:rPr>
          <w:rFonts w:asciiTheme="minorHAnsi" w:hAnsiTheme="minorHAnsi"/>
          <w:sz w:val="24"/>
          <w:szCs w:val="24"/>
        </w:rPr>
        <w:t>contrôle</w:t>
      </w:r>
      <w:r w:rsidRPr="00082753">
        <w:rPr>
          <w:rFonts w:asciiTheme="minorHAnsi" w:hAnsiTheme="minorHAnsi"/>
          <w:sz w:val="24"/>
          <w:szCs w:val="24"/>
        </w:rPr>
        <w:t xml:space="preserve"> périodique (après 4 à 6 semaines de traitement) de la fonction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hépatique est </w:t>
      </w:r>
      <w:r w:rsidR="00070084" w:rsidRPr="00082753">
        <w:rPr>
          <w:rFonts w:asciiTheme="minorHAnsi" w:hAnsiTheme="minorHAnsi"/>
          <w:sz w:val="24"/>
          <w:szCs w:val="24"/>
        </w:rPr>
        <w:t>recommandé</w:t>
      </w:r>
      <w:r w:rsidRPr="00082753">
        <w:rPr>
          <w:rFonts w:asciiTheme="minorHAnsi" w:hAnsiTheme="minorHAnsi"/>
          <w:sz w:val="24"/>
          <w:szCs w:val="24"/>
        </w:rPr>
        <w:t xml:space="preserve">. Le traitement par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doit être arrêté immédiatement en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cas d'</w:t>
      </w:r>
      <w:r w:rsidR="00F63925" w:rsidRPr="00082753">
        <w:rPr>
          <w:rFonts w:asciiTheme="minorHAnsi" w:hAnsiTheme="minorHAnsi"/>
          <w:sz w:val="24"/>
          <w:szCs w:val="24"/>
        </w:rPr>
        <w:t>augmentation</w:t>
      </w:r>
      <w:r w:rsidRPr="00082753">
        <w:rPr>
          <w:rFonts w:asciiTheme="minorHAnsi" w:hAnsiTheme="minorHAnsi"/>
          <w:sz w:val="24"/>
          <w:szCs w:val="24"/>
        </w:rPr>
        <w:t xml:space="preserve"> des </w:t>
      </w:r>
      <w:r w:rsidR="00F63925" w:rsidRPr="00082753">
        <w:rPr>
          <w:rFonts w:asciiTheme="minorHAnsi" w:hAnsiTheme="minorHAnsi"/>
          <w:sz w:val="24"/>
          <w:szCs w:val="24"/>
        </w:rPr>
        <w:t xml:space="preserve">valeurs des tests </w:t>
      </w:r>
      <w:r w:rsidRPr="00082753">
        <w:rPr>
          <w:rFonts w:asciiTheme="minorHAnsi" w:hAnsiTheme="minorHAnsi"/>
          <w:sz w:val="24"/>
          <w:szCs w:val="24"/>
        </w:rPr>
        <w:t>de la fonction hépatique. De très rares cas d’insuffisance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hépatique sévère (dont certains à issue fatale ou nécessitant une transplantation hépatique)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ont été rapportés chez des patients traités </w:t>
      </w:r>
      <w:r w:rsidR="00F63925" w:rsidRPr="00082753">
        <w:rPr>
          <w:rFonts w:asciiTheme="minorHAnsi" w:hAnsiTheme="minorHAnsi"/>
          <w:sz w:val="24"/>
          <w:szCs w:val="24"/>
        </w:rPr>
        <w:t>avec des</w:t>
      </w:r>
      <w:r w:rsidRPr="00082753">
        <w:rPr>
          <w:rFonts w:asciiTheme="minorHAnsi" w:hAnsiTheme="minorHAnsi"/>
          <w:sz w:val="24"/>
          <w:szCs w:val="24"/>
        </w:rPr>
        <w:t xml:space="preserve"> comprimés</w:t>
      </w:r>
      <w:r w:rsidR="00F63925" w:rsidRPr="0008275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F63925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. Dans la plupart des cas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d’insuffisance hépatique, les patients présentaient des affections systémiques sous-jacentes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sévères</w:t>
      </w:r>
      <w:r w:rsidR="00F63925" w:rsidRPr="00082753">
        <w:rPr>
          <w:rFonts w:asciiTheme="minorHAnsi" w:hAnsiTheme="minorHAnsi"/>
          <w:sz w:val="24"/>
          <w:szCs w:val="24"/>
        </w:rPr>
        <w:t xml:space="preserve">, </w:t>
      </w:r>
      <w:r w:rsidRPr="00082753">
        <w:rPr>
          <w:rFonts w:asciiTheme="minorHAnsi" w:hAnsiTheme="minorHAnsi"/>
          <w:sz w:val="24"/>
          <w:szCs w:val="24"/>
        </w:rPr>
        <w:t xml:space="preserve"> </w:t>
      </w:r>
      <w:r w:rsidR="00F63925" w:rsidRPr="00082753">
        <w:rPr>
          <w:rFonts w:asciiTheme="minorHAnsi" w:hAnsiTheme="minorHAnsi"/>
          <w:sz w:val="24"/>
          <w:szCs w:val="24"/>
        </w:rPr>
        <w:t xml:space="preserve">et une relation de cause à effet avec la prise des comprimés de </w:t>
      </w:r>
      <w:proofErr w:type="spellStart"/>
      <w:r w:rsidR="00F63925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="00F63925" w:rsidRPr="00082753">
        <w:rPr>
          <w:rFonts w:asciiTheme="minorHAnsi" w:hAnsiTheme="minorHAnsi"/>
          <w:sz w:val="24"/>
          <w:szCs w:val="24"/>
        </w:rPr>
        <w:t xml:space="preserve"> était incertaine</w:t>
      </w:r>
      <w:r w:rsidRPr="00082753">
        <w:rPr>
          <w:rFonts w:asciiTheme="minorHAnsi" w:hAnsiTheme="minorHAnsi"/>
          <w:sz w:val="24"/>
          <w:szCs w:val="24"/>
        </w:rPr>
        <w:t>.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Les patients auxquels on </w:t>
      </w:r>
      <w:r w:rsidR="00363BAE" w:rsidRPr="00082753">
        <w:rPr>
          <w:rFonts w:asciiTheme="minorHAnsi" w:hAnsiTheme="minorHAnsi"/>
          <w:sz w:val="24"/>
          <w:szCs w:val="24"/>
        </w:rPr>
        <w:t xml:space="preserve">a </w:t>
      </w:r>
      <w:r w:rsidRPr="00082753">
        <w:rPr>
          <w:rFonts w:asciiTheme="minorHAnsi" w:hAnsiTheme="minorHAnsi"/>
          <w:sz w:val="24"/>
          <w:szCs w:val="24"/>
        </w:rPr>
        <w:t xml:space="preserve">prescrit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250 mg comprimés doivent être informés qu'ils doivent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signaler immédiatement tout signe et symptôme de nausées inexpliquées et persistantes, de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diminution de l’appétit, de fatigue, de vomissements, de douleur abdominale dans le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quadrant supérieur droit, d’ictère, de coloration foncée de l’urine ou de selles pâles. Les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patients qui présentent ces symptômes doivent arrêtent leur </w:t>
      </w:r>
      <w:r w:rsidRPr="00082753">
        <w:rPr>
          <w:rFonts w:asciiTheme="minorHAnsi" w:hAnsiTheme="minorHAnsi"/>
          <w:sz w:val="24"/>
          <w:szCs w:val="24"/>
        </w:rPr>
        <w:lastRenderedPageBreak/>
        <w:t xml:space="preserve">traitement par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orale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et leur fonction hépatique doit être immédiatement contrôlée.</w:t>
      </w:r>
    </w:p>
    <w:p w:rsidR="00F63925" w:rsidRPr="00082753" w:rsidRDefault="00F63925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Effets dermatologiques</w:t>
      </w: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De très rares cas de réactions cutanées sévères (p. ex. syndrome de Stevens-Johnson,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syndrome de Lyell, éruption cutanée médicamenteuse s’accompagnant d’une éosinophilie et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de symptômes systémiques, </w:t>
      </w:r>
      <w:proofErr w:type="spellStart"/>
      <w:r w:rsidRPr="00082753">
        <w:rPr>
          <w:rFonts w:asciiTheme="minorHAnsi" w:hAnsiTheme="minorHAnsi"/>
          <w:sz w:val="24"/>
          <w:szCs w:val="24"/>
        </w:rPr>
        <w:t>pustulose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exanthématique aiguë généralisée) ont été rapportés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chez des patients traités par </w:t>
      </w:r>
      <w:r w:rsidR="0041044A" w:rsidRPr="00082753">
        <w:rPr>
          <w:rFonts w:asciiTheme="minorHAnsi" w:hAnsiTheme="minorHAnsi"/>
          <w:sz w:val="24"/>
          <w:szCs w:val="24"/>
        </w:rPr>
        <w:t xml:space="preserve">des </w:t>
      </w:r>
      <w:r w:rsidRPr="00082753">
        <w:rPr>
          <w:rFonts w:asciiTheme="minorHAnsi" w:hAnsiTheme="minorHAnsi"/>
          <w:sz w:val="24"/>
          <w:szCs w:val="24"/>
        </w:rPr>
        <w:t>comprimés</w:t>
      </w:r>
      <w:r w:rsidR="0041044A" w:rsidRPr="0008275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. En cas de survenue d’une éruption cutanée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progressive, le traitement doit être arrêté.</w:t>
      </w:r>
    </w:p>
    <w:p w:rsidR="00363BAE" w:rsidRPr="00082753" w:rsidRDefault="00363BAE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prudence s'impose lorsque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est utilisée chez des patients présentant un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psoriasis ou un lupus érythémateux préexistant, car de très rares cas de lupus érythémateux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cutané et systémique et d’éruptions </w:t>
      </w:r>
      <w:proofErr w:type="spellStart"/>
      <w:r w:rsidRPr="00082753">
        <w:rPr>
          <w:rFonts w:asciiTheme="minorHAnsi" w:hAnsiTheme="minorHAnsi"/>
          <w:sz w:val="24"/>
          <w:szCs w:val="24"/>
        </w:rPr>
        <w:t>psoriasiformes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ou d’exacerbations d’un psoriasis ont été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signalés.</w:t>
      </w:r>
    </w:p>
    <w:p w:rsidR="00F63925" w:rsidRPr="00082753" w:rsidRDefault="00F63925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Effets hématologiques</w:t>
      </w:r>
    </w:p>
    <w:p w:rsidR="00D03643" w:rsidRPr="00082753" w:rsidRDefault="00D03643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De très rares cas de dyscrasie sanguine (neutropénie, agranulocytose, </w:t>
      </w:r>
      <w:proofErr w:type="spellStart"/>
      <w:r w:rsidRPr="00082753">
        <w:rPr>
          <w:rFonts w:asciiTheme="minorHAnsi" w:hAnsiTheme="minorHAnsi"/>
          <w:sz w:val="24"/>
          <w:szCs w:val="24"/>
        </w:rPr>
        <w:t>thrombocytopénie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et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pancytopénie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) ont été rapportés chez des patients traités par </w:t>
      </w:r>
      <w:r w:rsidR="0041044A" w:rsidRPr="00082753">
        <w:rPr>
          <w:rFonts w:asciiTheme="minorHAnsi" w:hAnsiTheme="minorHAnsi"/>
          <w:sz w:val="24"/>
          <w:szCs w:val="24"/>
        </w:rPr>
        <w:t xml:space="preserve">des comprimés de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. L’étiologie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de chaque anomalie sanguine survenue chez les patients traités par </w:t>
      </w:r>
      <w:r w:rsidR="0041044A" w:rsidRPr="00082753">
        <w:rPr>
          <w:rFonts w:asciiTheme="minorHAnsi" w:hAnsiTheme="minorHAnsi"/>
          <w:sz w:val="24"/>
          <w:szCs w:val="24"/>
        </w:rPr>
        <w:t xml:space="preserve">des comprimés de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doit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être évaluée, </w:t>
      </w:r>
      <w:r w:rsidR="0041044A" w:rsidRPr="00082753">
        <w:rPr>
          <w:rFonts w:asciiTheme="minorHAnsi" w:hAnsiTheme="minorHAnsi"/>
          <w:sz w:val="24"/>
          <w:szCs w:val="24"/>
        </w:rPr>
        <w:t xml:space="preserve">et une éventuelle modification du schéma médicamenteux, en ce compris </w:t>
      </w:r>
      <w:r w:rsidRPr="00082753">
        <w:rPr>
          <w:rFonts w:asciiTheme="minorHAnsi" w:hAnsiTheme="minorHAnsi"/>
          <w:sz w:val="24"/>
          <w:szCs w:val="24"/>
        </w:rPr>
        <w:t xml:space="preserve">l'arrêt du traitement par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250 mg  comprimés. Il est recommandé de contrôler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régulièrement la formule sanguine.</w:t>
      </w:r>
    </w:p>
    <w:p w:rsidR="00F63925" w:rsidRPr="00082753" w:rsidRDefault="00F63925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Fonction rénale</w:t>
      </w: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L’utilisation de </w:t>
      </w:r>
      <w:r w:rsidR="0041044A" w:rsidRPr="00082753">
        <w:rPr>
          <w:rFonts w:asciiTheme="minorHAnsi" w:hAnsiTheme="minorHAnsi"/>
          <w:sz w:val="24"/>
          <w:szCs w:val="24"/>
        </w:rPr>
        <w:t xml:space="preserve">comprimé de </w:t>
      </w:r>
      <w:proofErr w:type="spellStart"/>
      <w:r w:rsidR="00F63925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n'a pas été suffisamment étudiée chez </w:t>
      </w:r>
      <w:r w:rsidR="0041044A" w:rsidRPr="00082753">
        <w:rPr>
          <w:rFonts w:asciiTheme="minorHAnsi" w:hAnsiTheme="minorHAnsi"/>
          <w:sz w:val="24"/>
          <w:szCs w:val="24"/>
        </w:rPr>
        <w:t>d</w:t>
      </w:r>
      <w:r w:rsidRPr="00082753">
        <w:rPr>
          <w:rFonts w:asciiTheme="minorHAnsi" w:hAnsiTheme="minorHAnsi"/>
          <w:sz w:val="24"/>
          <w:szCs w:val="24"/>
        </w:rPr>
        <w:t>es patients atteints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d’insuffisance rénale (clairance de la créatinine inférieure à 50 ml/min ou créatinine sérique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supérieure à 300 micromoles/l). L’utilisation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250 mg </w:t>
      </w:r>
      <w:r w:rsidR="00D03D75" w:rsidRPr="00082753">
        <w:rPr>
          <w:rFonts w:asciiTheme="minorHAnsi" w:hAnsiTheme="minorHAnsi"/>
          <w:sz w:val="24"/>
          <w:szCs w:val="24"/>
        </w:rPr>
        <w:t xml:space="preserve"> C</w:t>
      </w:r>
      <w:r w:rsidRPr="00082753">
        <w:rPr>
          <w:rFonts w:asciiTheme="minorHAnsi" w:hAnsiTheme="minorHAnsi"/>
          <w:sz w:val="24"/>
          <w:szCs w:val="24"/>
        </w:rPr>
        <w:t>omprimés n’est donc pas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recommandée chez ces patients.</w:t>
      </w:r>
    </w:p>
    <w:p w:rsidR="0041044A" w:rsidRPr="00082753" w:rsidRDefault="0041044A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Inhibiteur du CYP2D6</w:t>
      </w: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est un inhibiteur du CYP2D6. Une interaction est possible avec des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médicaments métabolisés essentiellement par le CYP2D6, tels que les antidépresseurs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tricycliques, </w:t>
      </w:r>
      <w:r w:rsidR="00363BAE" w:rsidRPr="00082753">
        <w:rPr>
          <w:rFonts w:asciiTheme="minorHAnsi" w:hAnsiTheme="minorHAnsi"/>
          <w:sz w:val="24"/>
          <w:szCs w:val="24"/>
        </w:rPr>
        <w:t>β</w:t>
      </w:r>
      <w:r w:rsidRPr="00082753">
        <w:rPr>
          <w:rFonts w:asciiTheme="minorHAnsi" w:hAnsiTheme="minorHAnsi"/>
          <w:sz w:val="24"/>
          <w:szCs w:val="24"/>
        </w:rPr>
        <w:t>-bloquants, inhibiteurs sélectifs de la recapture de la sérotonine (ISRS),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anti-arythmiques (y compris les classes 1A, 1B et 1C) et les inhibiteurs de la monoamine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oxydase (IMAO) de type B. </w:t>
      </w:r>
      <w:r w:rsidR="0041044A" w:rsidRPr="00082753">
        <w:rPr>
          <w:rFonts w:asciiTheme="minorHAnsi" w:hAnsiTheme="minorHAnsi"/>
          <w:sz w:val="24"/>
          <w:szCs w:val="24"/>
        </w:rPr>
        <w:t>C</w:t>
      </w:r>
      <w:r w:rsidRPr="00082753">
        <w:rPr>
          <w:rFonts w:asciiTheme="minorHAnsi" w:hAnsiTheme="minorHAnsi"/>
          <w:sz w:val="24"/>
          <w:szCs w:val="24"/>
        </w:rPr>
        <w:t>es patients doivent faire l’objet d’un suivi, en particulier lorsque</w:t>
      </w:r>
      <w:r w:rsidR="00F63925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ces médicaments ont un index thérapeutique étroit.</w:t>
      </w:r>
    </w:p>
    <w:p w:rsidR="0041044A" w:rsidRPr="00082753" w:rsidRDefault="0041044A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Les patients immunodéprimés</w:t>
      </w:r>
    </w:p>
    <w:p w:rsidR="00D03643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Contrôler la formule sanguine chez les patients immunodéprimés traités depuis plus de</w:t>
      </w:r>
    </w:p>
    <w:p w:rsidR="00282B8D" w:rsidRPr="00082753" w:rsidRDefault="00D03643" w:rsidP="00D0364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lastRenderedPageBreak/>
        <w:t>6 semaines.</w:t>
      </w:r>
    </w:p>
    <w:p w:rsidR="00D03643" w:rsidRPr="00082753" w:rsidRDefault="00D03643" w:rsidP="00D03643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4.5</w:t>
      </w:r>
      <w:r w:rsidRPr="00082753">
        <w:rPr>
          <w:rFonts w:asciiTheme="minorHAnsi" w:hAnsiTheme="minorHAnsi"/>
          <w:b/>
          <w:sz w:val="24"/>
          <w:szCs w:val="24"/>
        </w:rPr>
        <w:tab/>
        <w:t>Interactions avec d’autres médicaments et autres formes d’interactions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 xml:space="preserve">Effets d’autres médicaments sur la </w:t>
      </w:r>
      <w:proofErr w:type="spellStart"/>
      <w:r w:rsidRPr="00082753">
        <w:rPr>
          <w:rFonts w:asciiTheme="minorHAnsi" w:hAnsiTheme="minorHAnsi"/>
          <w:b/>
          <w:sz w:val="24"/>
          <w:szCs w:val="24"/>
        </w:rPr>
        <w:t>terbinafine</w:t>
      </w:r>
      <w:proofErr w:type="spellEnd"/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clairance plasmatique de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peut d’une part être accélérée par des médicaments qui induisent le métabolisme du cytochrome P450, et peut d’autre part être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ralentie par des médicaments qui inhibent le cytochrome P450. Lorsqu’un traitement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concomitant par ces médicaments s’avère indispensable, un ajustement de la dose de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peut s’imposer.</w:t>
      </w:r>
    </w:p>
    <w:p w:rsidR="00822DD4" w:rsidRPr="00082753" w:rsidRDefault="00822DD4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C55021" w:rsidP="00822DD4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L</w:t>
      </w:r>
      <w:r w:rsidR="0041044A" w:rsidRPr="00082753">
        <w:rPr>
          <w:rFonts w:asciiTheme="minorHAnsi" w:hAnsiTheme="minorHAnsi"/>
          <w:sz w:val="24"/>
          <w:szCs w:val="24"/>
        </w:rPr>
        <w:t xml:space="preserve">es médicaments </w:t>
      </w:r>
      <w:r w:rsidRPr="00082753">
        <w:rPr>
          <w:rFonts w:asciiTheme="minorHAnsi" w:hAnsiTheme="minorHAnsi"/>
          <w:sz w:val="24"/>
          <w:szCs w:val="24"/>
        </w:rPr>
        <w:t xml:space="preserve">suivants </w:t>
      </w:r>
      <w:r w:rsidR="0041044A" w:rsidRPr="00082753">
        <w:rPr>
          <w:rFonts w:asciiTheme="minorHAnsi" w:hAnsiTheme="minorHAnsi"/>
          <w:sz w:val="24"/>
          <w:szCs w:val="24"/>
        </w:rPr>
        <w:t xml:space="preserve">peuvent </w:t>
      </w:r>
      <w:r w:rsidR="0041044A" w:rsidRPr="00082753">
        <w:rPr>
          <w:rFonts w:asciiTheme="minorHAnsi" w:hAnsiTheme="minorHAnsi"/>
          <w:b/>
          <w:sz w:val="24"/>
          <w:szCs w:val="24"/>
        </w:rPr>
        <w:t xml:space="preserve">augmenter l’effet de la </w:t>
      </w:r>
      <w:proofErr w:type="spellStart"/>
      <w:r w:rsidR="0041044A" w:rsidRPr="00082753">
        <w:rPr>
          <w:rFonts w:asciiTheme="minorHAnsi" w:hAnsiTheme="minorHAnsi"/>
          <w:b/>
          <w:sz w:val="24"/>
          <w:szCs w:val="24"/>
        </w:rPr>
        <w:t>terbinafine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ou ses concentrations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="0041044A" w:rsidRPr="00082753">
        <w:rPr>
          <w:rFonts w:asciiTheme="minorHAnsi" w:hAnsiTheme="minorHAnsi"/>
          <w:sz w:val="24"/>
          <w:szCs w:val="24"/>
        </w:rPr>
        <w:t>plasmatiques:</w:t>
      </w:r>
    </w:p>
    <w:p w:rsidR="0041044A" w:rsidRPr="00082753" w:rsidRDefault="00373E34" w:rsidP="00822DD4">
      <w:pPr>
        <w:pStyle w:val="ListParagraph"/>
        <w:numPr>
          <w:ilvl w:val="0"/>
          <w:numId w:val="8"/>
        </w:numPr>
        <w:suppressAutoHyphens/>
        <w:spacing w:line="276" w:lineRule="auto"/>
        <w:ind w:left="128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C</w:t>
      </w:r>
      <w:r w:rsidR="0041044A" w:rsidRPr="00082753">
        <w:rPr>
          <w:rFonts w:asciiTheme="minorHAnsi" w:hAnsiTheme="minorHAnsi"/>
          <w:sz w:val="24"/>
          <w:szCs w:val="24"/>
        </w:rPr>
        <w:t>imétidine</w:t>
      </w:r>
    </w:p>
    <w:p w:rsidR="00373E34" w:rsidRPr="00082753" w:rsidRDefault="00373E34" w:rsidP="00822DD4">
      <w:pPr>
        <w:pStyle w:val="ListParagraph"/>
        <w:numPr>
          <w:ilvl w:val="0"/>
          <w:numId w:val="12"/>
        </w:numPr>
        <w:suppressAutoHyphens/>
        <w:spacing w:line="276" w:lineRule="auto"/>
        <w:ind w:left="1287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82753">
        <w:rPr>
          <w:rFonts w:asciiTheme="minorHAnsi" w:hAnsiTheme="minorHAnsi"/>
          <w:sz w:val="24"/>
          <w:szCs w:val="24"/>
        </w:rPr>
        <w:t>F</w:t>
      </w:r>
      <w:r w:rsidR="0041044A" w:rsidRPr="00082753">
        <w:rPr>
          <w:rFonts w:asciiTheme="minorHAnsi" w:hAnsiTheme="minorHAnsi"/>
          <w:sz w:val="24"/>
          <w:szCs w:val="24"/>
        </w:rPr>
        <w:t>luconazole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</w:t>
      </w:r>
    </w:p>
    <w:p w:rsidR="00373E34" w:rsidRPr="00082753" w:rsidRDefault="00373E34" w:rsidP="00822DD4">
      <w:pPr>
        <w:pStyle w:val="ListParagraph"/>
        <w:numPr>
          <w:ilvl w:val="0"/>
          <w:numId w:val="12"/>
        </w:numPr>
        <w:suppressAutoHyphens/>
        <w:spacing w:line="276" w:lineRule="auto"/>
        <w:ind w:left="1287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82753">
        <w:rPr>
          <w:rFonts w:asciiTheme="minorHAnsi" w:hAnsiTheme="minorHAnsi"/>
          <w:sz w:val="24"/>
          <w:szCs w:val="24"/>
        </w:rPr>
        <w:t>K</w:t>
      </w:r>
      <w:r w:rsidR="0041044A" w:rsidRPr="00082753">
        <w:rPr>
          <w:rFonts w:asciiTheme="minorHAnsi" w:hAnsiTheme="minorHAnsi"/>
          <w:sz w:val="24"/>
          <w:szCs w:val="24"/>
        </w:rPr>
        <w:t>étoconazole</w:t>
      </w:r>
      <w:proofErr w:type="spellEnd"/>
    </w:p>
    <w:p w:rsidR="0041044A" w:rsidRPr="00082753" w:rsidRDefault="00373E34" w:rsidP="00822DD4">
      <w:pPr>
        <w:pStyle w:val="ListParagraph"/>
        <w:numPr>
          <w:ilvl w:val="0"/>
          <w:numId w:val="12"/>
        </w:numPr>
        <w:suppressAutoHyphens/>
        <w:spacing w:line="276" w:lineRule="auto"/>
        <w:ind w:left="128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A</w:t>
      </w:r>
      <w:r w:rsidR="0041044A" w:rsidRPr="00082753">
        <w:rPr>
          <w:rFonts w:asciiTheme="minorHAnsi" w:hAnsiTheme="minorHAnsi"/>
          <w:sz w:val="24"/>
          <w:szCs w:val="24"/>
        </w:rPr>
        <w:t>miodarone</w:t>
      </w:r>
    </w:p>
    <w:p w:rsidR="0041044A" w:rsidRPr="00082753" w:rsidRDefault="00C55021" w:rsidP="00822DD4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L</w:t>
      </w:r>
      <w:r w:rsidR="0041044A" w:rsidRPr="00082753">
        <w:rPr>
          <w:rFonts w:asciiTheme="minorHAnsi" w:hAnsiTheme="minorHAnsi"/>
          <w:sz w:val="24"/>
          <w:szCs w:val="24"/>
        </w:rPr>
        <w:t xml:space="preserve">es médicaments </w:t>
      </w:r>
      <w:r w:rsidRPr="00082753">
        <w:rPr>
          <w:rFonts w:asciiTheme="minorHAnsi" w:hAnsiTheme="minorHAnsi"/>
          <w:sz w:val="24"/>
          <w:szCs w:val="24"/>
        </w:rPr>
        <w:t xml:space="preserve">suivants </w:t>
      </w:r>
      <w:r w:rsidR="0041044A" w:rsidRPr="00082753">
        <w:rPr>
          <w:rFonts w:asciiTheme="minorHAnsi" w:hAnsiTheme="minorHAnsi"/>
          <w:sz w:val="24"/>
          <w:szCs w:val="24"/>
        </w:rPr>
        <w:t xml:space="preserve">peuvent </w:t>
      </w:r>
      <w:r w:rsidR="0041044A" w:rsidRPr="00082753">
        <w:rPr>
          <w:rFonts w:asciiTheme="minorHAnsi" w:hAnsiTheme="minorHAnsi"/>
          <w:b/>
          <w:sz w:val="24"/>
          <w:szCs w:val="24"/>
        </w:rPr>
        <w:t xml:space="preserve">réduire l’effet de la </w:t>
      </w:r>
      <w:proofErr w:type="spellStart"/>
      <w:r w:rsidR="0041044A" w:rsidRPr="00082753">
        <w:rPr>
          <w:rFonts w:asciiTheme="minorHAnsi" w:hAnsiTheme="minorHAnsi"/>
          <w:b/>
          <w:sz w:val="24"/>
          <w:szCs w:val="24"/>
        </w:rPr>
        <w:t>terbinafine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ou ses concentrations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="0041044A" w:rsidRPr="00082753">
        <w:rPr>
          <w:rFonts w:asciiTheme="minorHAnsi" w:hAnsiTheme="minorHAnsi"/>
          <w:sz w:val="24"/>
          <w:szCs w:val="24"/>
        </w:rPr>
        <w:t>plasmatiques :</w:t>
      </w:r>
    </w:p>
    <w:p w:rsidR="0041044A" w:rsidRPr="00082753" w:rsidRDefault="00373E34" w:rsidP="00822DD4">
      <w:pPr>
        <w:pStyle w:val="ListParagraph"/>
        <w:numPr>
          <w:ilvl w:val="1"/>
          <w:numId w:val="12"/>
        </w:numPr>
        <w:suppressAutoHyphens/>
        <w:spacing w:line="276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R</w:t>
      </w:r>
      <w:r w:rsidR="0041044A" w:rsidRPr="00082753">
        <w:rPr>
          <w:rFonts w:asciiTheme="minorHAnsi" w:hAnsiTheme="minorHAnsi"/>
          <w:sz w:val="24"/>
          <w:szCs w:val="24"/>
        </w:rPr>
        <w:t xml:space="preserve">ifampicine </w:t>
      </w:r>
    </w:p>
    <w:p w:rsidR="00822DD4" w:rsidRPr="00082753" w:rsidRDefault="00822DD4" w:rsidP="00822DD4">
      <w:pPr>
        <w:pStyle w:val="ListParagraph"/>
        <w:suppressAutoHyphens/>
        <w:spacing w:line="276" w:lineRule="auto"/>
        <w:ind w:left="164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 xml:space="preserve">Effets de la </w:t>
      </w:r>
      <w:proofErr w:type="spellStart"/>
      <w:r w:rsidRPr="00082753">
        <w:rPr>
          <w:rFonts w:asciiTheme="minorHAnsi" w:hAnsiTheme="minorHAnsi"/>
          <w:b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b/>
          <w:sz w:val="24"/>
          <w:szCs w:val="24"/>
        </w:rPr>
        <w:t xml:space="preserve"> sur d’autres médicaments :</w:t>
      </w:r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Les résultats obtenus dans le cadre d'études in vitro menées sur des volontaires </w:t>
      </w:r>
      <w:r w:rsidR="00C55021" w:rsidRPr="00082753">
        <w:rPr>
          <w:rFonts w:asciiTheme="minorHAnsi" w:hAnsiTheme="minorHAnsi"/>
          <w:sz w:val="24"/>
          <w:szCs w:val="24"/>
        </w:rPr>
        <w:t>sains</w:t>
      </w:r>
      <w:r w:rsidRPr="00082753">
        <w:rPr>
          <w:rFonts w:asciiTheme="minorHAnsi" w:hAnsiTheme="minorHAnsi"/>
          <w:sz w:val="24"/>
          <w:szCs w:val="24"/>
        </w:rPr>
        <w:t xml:space="preserve"> ont montré que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a un effet de potentialisation ou d’inhibition négligeable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sur la clairance de la plupart des médicaments métabolisés par le système du cytochrome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P450 (p</w:t>
      </w:r>
      <w:r w:rsidR="00C55021" w:rsidRPr="00082753">
        <w:rPr>
          <w:rFonts w:asciiTheme="minorHAnsi" w:hAnsiTheme="minorHAnsi"/>
          <w:sz w:val="24"/>
          <w:szCs w:val="24"/>
        </w:rPr>
        <w:t>ar exemple</w:t>
      </w:r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terfénadine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82753">
        <w:rPr>
          <w:rFonts w:asciiTheme="minorHAnsi" w:hAnsiTheme="minorHAnsi"/>
          <w:sz w:val="24"/>
          <w:szCs w:val="24"/>
        </w:rPr>
        <w:t>triazolam</w:t>
      </w:r>
      <w:proofErr w:type="spellEnd"/>
      <w:r w:rsidRPr="00082753">
        <w:rPr>
          <w:rFonts w:asciiTheme="minorHAnsi" w:hAnsiTheme="minorHAnsi"/>
          <w:sz w:val="24"/>
          <w:szCs w:val="24"/>
        </w:rPr>
        <w:t>, tolbutamide ou contraceptifs oraux), à l’exception de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ceux métabolisés par le CYP2D6.</w:t>
      </w:r>
    </w:p>
    <w:p w:rsidR="00822DD4" w:rsidRPr="00082753" w:rsidRDefault="00822DD4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C55021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n’interfère pas avec </w:t>
      </w:r>
      <w:r w:rsidR="0041044A" w:rsidRPr="00082753">
        <w:rPr>
          <w:rFonts w:asciiTheme="minorHAnsi" w:hAnsiTheme="minorHAnsi"/>
          <w:sz w:val="24"/>
          <w:szCs w:val="24"/>
        </w:rPr>
        <w:t xml:space="preserve">les paramètres pharmacocinétiques du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fluconazole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>. Par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="0041044A" w:rsidRPr="00082753">
        <w:rPr>
          <w:rFonts w:asciiTheme="minorHAnsi" w:hAnsiTheme="minorHAnsi"/>
          <w:sz w:val="24"/>
          <w:szCs w:val="24"/>
        </w:rPr>
        <w:t>ailleurs, sur la base des études d’interactions médicamenteuses réalisées auprès de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="0041044A" w:rsidRPr="00082753">
        <w:rPr>
          <w:rFonts w:asciiTheme="minorHAnsi" w:hAnsiTheme="minorHAnsi"/>
          <w:sz w:val="24"/>
          <w:szCs w:val="24"/>
        </w:rPr>
        <w:t>18 sujets par étude, aucune interaction cliniquement pertinente n'a été observée entre la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et les médicaments potentiellement administrés en concomitance, à savoir le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cotrimoxazole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(triméthoprime et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sulfaméthoxazole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>), la zidovudine et la théophylline.</w:t>
      </w:r>
    </w:p>
    <w:p w:rsidR="00822DD4" w:rsidRPr="00082753" w:rsidRDefault="00822DD4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Quelques cas de cycles menstruels irréguliers ont été signalés chez des patientes traitées</w:t>
      </w:r>
      <w:r w:rsidR="0007008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en concomitance par </w:t>
      </w:r>
      <w:r w:rsidR="00822DD4" w:rsidRPr="00082753">
        <w:rPr>
          <w:rFonts w:asciiTheme="minorHAnsi" w:hAnsiTheme="minorHAnsi"/>
          <w:sz w:val="24"/>
          <w:szCs w:val="24"/>
        </w:rPr>
        <w:t xml:space="preserve">des </w:t>
      </w:r>
      <w:r w:rsidRPr="00082753">
        <w:rPr>
          <w:rFonts w:asciiTheme="minorHAnsi" w:hAnsiTheme="minorHAnsi"/>
          <w:sz w:val="24"/>
          <w:szCs w:val="24"/>
        </w:rPr>
        <w:t xml:space="preserve">comprimés </w:t>
      </w:r>
      <w:r w:rsidR="00822DD4" w:rsidRPr="00082753">
        <w:rPr>
          <w:rFonts w:asciiTheme="minorHAnsi" w:hAnsiTheme="minorHAnsi"/>
          <w:sz w:val="24"/>
          <w:szCs w:val="24"/>
        </w:rPr>
        <w:t xml:space="preserve">de </w:t>
      </w:r>
      <w:proofErr w:type="spellStart"/>
      <w:r w:rsidR="00822DD4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et par des contraceptifs oraux. L’incidence de ces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anomalies était cependant dans les limites de l’incidence globale observée chez les femmes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prenant uniquement des contraceptifs oraux.</w:t>
      </w:r>
    </w:p>
    <w:p w:rsidR="00822DD4" w:rsidRPr="00082753" w:rsidRDefault="00822DD4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822DD4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lastRenderedPageBreak/>
        <w:t xml:space="preserve">La </w:t>
      </w:r>
      <w:proofErr w:type="spellStart"/>
      <w:r w:rsidRPr="00082753">
        <w:rPr>
          <w:rFonts w:asciiTheme="minorHAnsi" w:hAnsiTheme="minorHAnsi"/>
          <w:b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b/>
          <w:sz w:val="24"/>
          <w:szCs w:val="24"/>
        </w:rPr>
        <w:t xml:space="preserve"> peut augmenter l’effet</w:t>
      </w:r>
      <w:r w:rsidRPr="00082753">
        <w:rPr>
          <w:rFonts w:asciiTheme="minorHAnsi" w:hAnsiTheme="minorHAnsi"/>
          <w:sz w:val="24"/>
          <w:szCs w:val="24"/>
        </w:rPr>
        <w:t xml:space="preserve"> ou les concentrations plasmatiques des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médicaments suivants :</w:t>
      </w:r>
    </w:p>
    <w:p w:rsidR="0041044A" w:rsidRPr="00082753" w:rsidRDefault="00822DD4" w:rsidP="00822DD4">
      <w:pPr>
        <w:pStyle w:val="ListParagraph"/>
        <w:numPr>
          <w:ilvl w:val="1"/>
          <w:numId w:val="12"/>
        </w:numPr>
        <w:suppressAutoHyphens/>
        <w:spacing w:line="276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C</w:t>
      </w:r>
      <w:r w:rsidR="0041044A" w:rsidRPr="00082753">
        <w:rPr>
          <w:rFonts w:asciiTheme="minorHAnsi" w:hAnsiTheme="minorHAnsi"/>
          <w:sz w:val="24"/>
          <w:szCs w:val="24"/>
        </w:rPr>
        <w:t>aféine</w:t>
      </w:r>
    </w:p>
    <w:p w:rsidR="0041044A" w:rsidRPr="00082753" w:rsidRDefault="00634767" w:rsidP="00822DD4">
      <w:pPr>
        <w:pStyle w:val="ListParagraph"/>
        <w:numPr>
          <w:ilvl w:val="0"/>
          <w:numId w:val="12"/>
        </w:numPr>
        <w:suppressAutoHyphens/>
        <w:spacing w:line="276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Substances</w:t>
      </w:r>
      <w:r w:rsidR="0041044A" w:rsidRPr="00082753">
        <w:rPr>
          <w:rFonts w:asciiTheme="minorHAnsi" w:hAnsiTheme="minorHAnsi"/>
          <w:sz w:val="24"/>
          <w:szCs w:val="24"/>
        </w:rPr>
        <w:t xml:space="preserve"> essentiellement métabolisés par le CYP2D6</w:t>
      </w:r>
      <w:r w:rsidR="00822DD4" w:rsidRPr="00082753">
        <w:rPr>
          <w:rFonts w:asciiTheme="minorHAnsi" w:hAnsiTheme="minorHAnsi"/>
          <w:sz w:val="24"/>
          <w:szCs w:val="24"/>
        </w:rPr>
        <w:t> :</w:t>
      </w:r>
      <w:r w:rsidR="0041044A" w:rsidRPr="00082753">
        <w:rPr>
          <w:rFonts w:asciiTheme="minorHAnsi" w:hAnsiTheme="minorHAnsi"/>
          <w:sz w:val="24"/>
          <w:szCs w:val="24"/>
        </w:rPr>
        <w:t xml:space="preserve"> antidépresseurs tricycliques (ADT), </w:t>
      </w:r>
      <w:r w:rsidR="00C37E0A" w:rsidRPr="00082753">
        <w:rPr>
          <w:rFonts w:asciiTheme="minorHAnsi" w:hAnsiTheme="minorHAnsi"/>
          <w:sz w:val="24"/>
          <w:szCs w:val="24"/>
        </w:rPr>
        <w:t>β-</w:t>
      </w:r>
      <w:r w:rsidR="0041044A" w:rsidRPr="00082753">
        <w:rPr>
          <w:rFonts w:asciiTheme="minorHAnsi" w:hAnsiTheme="minorHAnsi"/>
          <w:sz w:val="24"/>
          <w:szCs w:val="24"/>
        </w:rPr>
        <w:t>bloquants, inhibiteurs sélectifs de la recapture de la sérotonine (ISRS),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1044A" w:rsidRPr="00082753">
        <w:rPr>
          <w:rFonts w:asciiTheme="minorHAnsi" w:hAnsiTheme="minorHAnsi"/>
          <w:sz w:val="24"/>
          <w:szCs w:val="24"/>
        </w:rPr>
        <w:t>antiarythmiques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(notamment ceux des classes 1A, 1B et 1C) et inhibiteurs de la monoamine</w:t>
      </w:r>
      <w:r w:rsidR="00822DD4" w:rsidRPr="00082753">
        <w:rPr>
          <w:rFonts w:asciiTheme="minorHAnsi" w:hAnsiTheme="minorHAnsi"/>
          <w:sz w:val="24"/>
          <w:szCs w:val="24"/>
        </w:rPr>
        <w:t xml:space="preserve"> </w:t>
      </w:r>
      <w:r w:rsidR="0041044A" w:rsidRPr="00082753">
        <w:rPr>
          <w:rFonts w:asciiTheme="minorHAnsi" w:hAnsiTheme="minorHAnsi"/>
          <w:sz w:val="24"/>
          <w:szCs w:val="24"/>
        </w:rPr>
        <w:t>oxydase (IMAO) de type B.</w:t>
      </w:r>
    </w:p>
    <w:p w:rsidR="0041044A" w:rsidRPr="00082753" w:rsidRDefault="00082753" w:rsidP="00C55021">
      <w:pPr>
        <w:pStyle w:val="ListParagraph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82753">
        <w:rPr>
          <w:rFonts w:asciiTheme="minorHAnsi" w:hAnsiTheme="minorHAnsi"/>
          <w:sz w:val="24"/>
          <w:szCs w:val="24"/>
        </w:rPr>
        <w:t>A</w:t>
      </w:r>
      <w:r w:rsidR="0041044A" w:rsidRPr="00082753">
        <w:rPr>
          <w:rFonts w:asciiTheme="minorHAnsi" w:hAnsiTheme="minorHAnsi"/>
          <w:sz w:val="24"/>
          <w:szCs w:val="24"/>
        </w:rPr>
        <w:t>ténolol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>.</w:t>
      </w:r>
    </w:p>
    <w:p w:rsidR="00C55021" w:rsidRPr="00082753" w:rsidRDefault="00082753" w:rsidP="005940DF">
      <w:pPr>
        <w:pStyle w:val="ListParagraph"/>
        <w:numPr>
          <w:ilvl w:val="0"/>
          <w:numId w:val="14"/>
        </w:numPr>
        <w:suppressAutoHyphens/>
        <w:spacing w:line="276" w:lineRule="auto"/>
        <w:ind w:left="1276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82753">
        <w:rPr>
          <w:rFonts w:asciiTheme="minorHAnsi" w:hAnsiTheme="minorHAnsi"/>
          <w:sz w:val="24"/>
          <w:szCs w:val="24"/>
        </w:rPr>
        <w:t>D</w:t>
      </w:r>
      <w:r w:rsidR="0041044A" w:rsidRPr="00082753">
        <w:rPr>
          <w:rFonts w:asciiTheme="minorHAnsi" w:hAnsiTheme="minorHAnsi"/>
          <w:sz w:val="24"/>
          <w:szCs w:val="24"/>
        </w:rPr>
        <w:t>ésipramine</w:t>
      </w:r>
      <w:proofErr w:type="spellEnd"/>
    </w:p>
    <w:p w:rsidR="0041044A" w:rsidRPr="00082753" w:rsidRDefault="00082753" w:rsidP="005940DF">
      <w:pPr>
        <w:pStyle w:val="ListParagraph"/>
        <w:numPr>
          <w:ilvl w:val="0"/>
          <w:numId w:val="14"/>
        </w:numPr>
        <w:suppressAutoHyphens/>
        <w:spacing w:line="276" w:lineRule="auto"/>
        <w:ind w:left="1276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082753">
        <w:rPr>
          <w:rFonts w:asciiTheme="minorHAnsi" w:hAnsiTheme="minorHAnsi"/>
          <w:sz w:val="24"/>
          <w:szCs w:val="24"/>
        </w:rPr>
        <w:t>D</w:t>
      </w:r>
      <w:r w:rsidR="0041044A" w:rsidRPr="00082753">
        <w:rPr>
          <w:rFonts w:asciiTheme="minorHAnsi" w:hAnsiTheme="minorHAnsi"/>
          <w:sz w:val="24"/>
          <w:szCs w:val="24"/>
        </w:rPr>
        <w:t>extrométhorphane</w:t>
      </w:r>
      <w:proofErr w:type="spellEnd"/>
      <w:r w:rsidR="0041044A" w:rsidRPr="00082753">
        <w:rPr>
          <w:rFonts w:asciiTheme="minorHAnsi" w:hAnsiTheme="minorHAnsi"/>
          <w:sz w:val="24"/>
          <w:szCs w:val="24"/>
        </w:rPr>
        <w:t xml:space="preserve"> .</w:t>
      </w:r>
      <w:proofErr w:type="gramEnd"/>
    </w:p>
    <w:p w:rsidR="0041044A" w:rsidRPr="00082753" w:rsidRDefault="0041044A" w:rsidP="00C55021">
      <w:pPr>
        <w:pStyle w:val="ListParagraph"/>
        <w:numPr>
          <w:ilvl w:val="0"/>
          <w:numId w:val="13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b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b/>
          <w:sz w:val="24"/>
          <w:szCs w:val="24"/>
        </w:rPr>
        <w:t xml:space="preserve"> peut réduire l’effet</w:t>
      </w:r>
      <w:r w:rsidRPr="00082753">
        <w:rPr>
          <w:rFonts w:asciiTheme="minorHAnsi" w:hAnsiTheme="minorHAnsi"/>
          <w:sz w:val="24"/>
          <w:szCs w:val="24"/>
        </w:rPr>
        <w:t xml:space="preserve"> ou les concentrations plasmatiques des</w:t>
      </w:r>
      <w:r w:rsidR="00C55021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médicaments suivants :</w:t>
      </w:r>
    </w:p>
    <w:p w:rsidR="0041044A" w:rsidRPr="00082753" w:rsidRDefault="00C55021" w:rsidP="00C55021">
      <w:pPr>
        <w:pStyle w:val="ListParagraph"/>
        <w:numPr>
          <w:ilvl w:val="0"/>
          <w:numId w:val="14"/>
        </w:numPr>
        <w:suppressAutoHyphens/>
        <w:spacing w:line="276" w:lineRule="auto"/>
        <w:ind w:left="1276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C</w:t>
      </w:r>
      <w:r w:rsidR="0041044A" w:rsidRPr="00082753">
        <w:rPr>
          <w:rFonts w:asciiTheme="minorHAnsi" w:hAnsiTheme="minorHAnsi"/>
          <w:sz w:val="24"/>
          <w:szCs w:val="24"/>
        </w:rPr>
        <w:t>iclosporine</w:t>
      </w:r>
      <w:r w:rsidR="00082753" w:rsidRPr="00082753">
        <w:rPr>
          <w:rFonts w:asciiTheme="minorHAnsi" w:hAnsiTheme="minorHAnsi"/>
          <w:sz w:val="24"/>
          <w:szCs w:val="24"/>
        </w:rPr>
        <w:t> </w:t>
      </w:r>
    </w:p>
    <w:p w:rsidR="00C55021" w:rsidRPr="00082753" w:rsidRDefault="00C55021" w:rsidP="00C55021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Interactions avec les aliments/boissons</w:t>
      </w:r>
    </w:p>
    <w:p w:rsidR="0041044A" w:rsidRPr="00082753" w:rsidRDefault="0041044A" w:rsidP="0041044A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biodisponibilité de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est peu influencée (augmentation de l’AUC inférieure à</w:t>
      </w:r>
      <w:r w:rsidR="00C55021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20%), mais pas suffisamment pour adapter la dose.</w:t>
      </w:r>
    </w:p>
    <w:p w:rsidR="0041044A" w:rsidRPr="00082753" w:rsidRDefault="0041044A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4.6</w:t>
      </w:r>
      <w:r w:rsidRPr="00082753">
        <w:rPr>
          <w:rFonts w:asciiTheme="minorHAnsi" w:hAnsiTheme="minorHAnsi"/>
          <w:b/>
          <w:sz w:val="24"/>
          <w:szCs w:val="24"/>
        </w:rPr>
        <w:tab/>
      </w:r>
      <w:r w:rsidR="00082753" w:rsidRPr="00082753">
        <w:rPr>
          <w:rFonts w:asciiTheme="minorHAnsi" w:hAnsiTheme="minorHAnsi"/>
          <w:b/>
          <w:sz w:val="24"/>
          <w:szCs w:val="24"/>
        </w:rPr>
        <w:t>G</w:t>
      </w:r>
      <w:r w:rsidRPr="00082753">
        <w:rPr>
          <w:rFonts w:asciiTheme="minorHAnsi" w:hAnsiTheme="minorHAnsi"/>
          <w:b/>
          <w:sz w:val="24"/>
          <w:szCs w:val="24"/>
        </w:rPr>
        <w:t>rossesse</w:t>
      </w:r>
      <w:r w:rsidR="00082753" w:rsidRPr="00082753">
        <w:rPr>
          <w:rFonts w:asciiTheme="minorHAnsi" w:hAnsiTheme="minorHAnsi"/>
          <w:b/>
          <w:sz w:val="24"/>
          <w:szCs w:val="24"/>
        </w:rPr>
        <w:t>,</w:t>
      </w:r>
      <w:r w:rsidRPr="00082753">
        <w:rPr>
          <w:rFonts w:asciiTheme="minorHAnsi" w:hAnsiTheme="minorHAnsi"/>
          <w:b/>
          <w:sz w:val="24"/>
          <w:szCs w:val="24"/>
        </w:rPr>
        <w:t xml:space="preserve"> allaitement</w:t>
      </w:r>
      <w:r w:rsidR="00082753" w:rsidRPr="00082753">
        <w:rPr>
          <w:rFonts w:asciiTheme="minorHAnsi" w:hAnsiTheme="minorHAnsi"/>
          <w:b/>
          <w:sz w:val="24"/>
          <w:szCs w:val="24"/>
        </w:rPr>
        <w:t xml:space="preserve"> et fertilité</w:t>
      </w:r>
    </w:p>
    <w:p w:rsidR="00282B8D" w:rsidRPr="00082753" w:rsidRDefault="00282B8D" w:rsidP="002E567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1134" w:hanging="567"/>
        <w:jc w:val="both"/>
        <w:rPr>
          <w:rFonts w:asciiTheme="minorHAnsi" w:hAnsiTheme="minorHAnsi"/>
          <w:b/>
          <w:sz w:val="24"/>
          <w:szCs w:val="24"/>
          <w:lang w:val="fr-BE"/>
        </w:rPr>
      </w:pPr>
      <w:r w:rsidRPr="00082753">
        <w:rPr>
          <w:rFonts w:asciiTheme="minorHAnsi" w:hAnsiTheme="minorHAnsi"/>
          <w:b/>
          <w:sz w:val="24"/>
          <w:szCs w:val="24"/>
          <w:lang w:val="fr-BE"/>
        </w:rPr>
        <w:t>Grossesse</w:t>
      </w:r>
    </w:p>
    <w:p w:rsidR="00D03D75" w:rsidRPr="00082753" w:rsidRDefault="00D03D75" w:rsidP="00D03D7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fr-BE"/>
        </w:rPr>
      </w:pPr>
      <w:r w:rsidRPr="00082753">
        <w:rPr>
          <w:rFonts w:asciiTheme="minorHAnsi" w:hAnsiTheme="minorHAnsi"/>
          <w:sz w:val="24"/>
          <w:szCs w:val="24"/>
          <w:lang w:val="fr-BE"/>
        </w:rPr>
        <w:t xml:space="preserve">Il n’existe pas de données ou il existe des données limitées sur l’utilisation de </w:t>
      </w:r>
      <w:proofErr w:type="spellStart"/>
      <w:r w:rsidRPr="00082753">
        <w:rPr>
          <w:rFonts w:asciiTheme="minorHAnsi" w:hAnsiTheme="minorHAnsi"/>
          <w:sz w:val="24"/>
          <w:szCs w:val="24"/>
          <w:lang w:val="fr-BE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  <w:lang w:val="fr-BE"/>
        </w:rPr>
        <w:t xml:space="preserve"> chez la femme enceinte. Les études effectuées chez l’animal n’ont pas mis en évidence d’effets délétères directs ou indirects sur la reproduction. Par précaution, il est préférable d’éviter l’utilisation de </w:t>
      </w:r>
      <w:proofErr w:type="spellStart"/>
      <w:r w:rsidRPr="00082753">
        <w:rPr>
          <w:rFonts w:asciiTheme="minorHAnsi" w:hAnsiTheme="minorHAnsi"/>
          <w:sz w:val="24"/>
          <w:szCs w:val="24"/>
          <w:lang w:val="fr-BE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  <w:lang w:val="fr-BE"/>
        </w:rPr>
        <w:t xml:space="preserve"> 250 mg  Comprimés pendant la grossesse.</w:t>
      </w:r>
    </w:p>
    <w:p w:rsidR="00041BBF" w:rsidRPr="00082753" w:rsidRDefault="00041BBF" w:rsidP="00D03D7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282B8D" w:rsidRPr="00082753" w:rsidRDefault="00282B8D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  <w:lang w:val="fr-BE"/>
        </w:rPr>
      </w:pPr>
      <w:r w:rsidRPr="00082753">
        <w:rPr>
          <w:rFonts w:asciiTheme="minorHAnsi" w:hAnsiTheme="minorHAnsi"/>
          <w:b/>
          <w:sz w:val="24"/>
          <w:szCs w:val="24"/>
          <w:lang w:val="fr-BE"/>
        </w:rPr>
        <w:t>Allaitement</w:t>
      </w:r>
    </w:p>
    <w:p w:rsidR="00461068" w:rsidRPr="00082753" w:rsidRDefault="00D03D75" w:rsidP="00D03D7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fr-BE"/>
        </w:rPr>
      </w:pPr>
      <w:r w:rsidRPr="00082753">
        <w:rPr>
          <w:rFonts w:asciiTheme="minorHAnsi" w:hAnsiTheme="minorHAnsi"/>
          <w:sz w:val="24"/>
          <w:szCs w:val="24"/>
          <w:lang w:val="fr-BE"/>
        </w:rPr>
        <w:t xml:space="preserve">De la </w:t>
      </w:r>
      <w:proofErr w:type="spellStart"/>
      <w:r w:rsidRPr="00082753">
        <w:rPr>
          <w:rFonts w:asciiTheme="minorHAnsi" w:hAnsiTheme="minorHAnsi"/>
          <w:sz w:val="24"/>
          <w:szCs w:val="24"/>
          <w:lang w:val="fr-BE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  <w:lang w:val="fr-BE"/>
        </w:rPr>
        <w:t xml:space="preserve"> et des métabolites ont été retrouvés chez les nouveau-nés / nourrissons allaités par des femmes traitées. On ne connaît pas l’effet de la </w:t>
      </w:r>
      <w:proofErr w:type="spellStart"/>
      <w:r w:rsidRPr="00082753">
        <w:rPr>
          <w:rFonts w:asciiTheme="minorHAnsi" w:hAnsiTheme="minorHAnsi"/>
          <w:sz w:val="24"/>
          <w:szCs w:val="24"/>
          <w:lang w:val="fr-BE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  <w:lang w:val="fr-BE"/>
        </w:rPr>
        <w:t xml:space="preserve"> sur les </w:t>
      </w:r>
      <w:r w:rsidR="00070084" w:rsidRPr="00082753">
        <w:rPr>
          <w:rFonts w:asciiTheme="minorHAnsi" w:hAnsiTheme="minorHAnsi"/>
          <w:sz w:val="24"/>
          <w:szCs w:val="24"/>
          <w:lang w:val="fr-BE"/>
        </w:rPr>
        <w:t>nouveau-nés</w:t>
      </w:r>
      <w:r w:rsidRPr="00082753">
        <w:rPr>
          <w:rFonts w:asciiTheme="minorHAnsi" w:hAnsiTheme="minorHAnsi"/>
          <w:sz w:val="24"/>
          <w:szCs w:val="24"/>
          <w:lang w:val="fr-BE"/>
        </w:rPr>
        <w:t xml:space="preserve"> / nourrissons.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Terbinol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250 mg  comprimés</w:t>
      </w:r>
      <w:r w:rsidRPr="00082753">
        <w:rPr>
          <w:rFonts w:asciiTheme="minorHAnsi" w:hAnsiTheme="minorHAnsi"/>
          <w:sz w:val="24"/>
          <w:szCs w:val="24"/>
          <w:lang w:val="fr-BE"/>
        </w:rPr>
        <w:t xml:space="preserve"> ne doit pas être utilisé pendant l’allaitement.</w:t>
      </w:r>
    </w:p>
    <w:p w:rsidR="00082753" w:rsidRPr="00082753" w:rsidRDefault="00082753" w:rsidP="0008275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082753" w:rsidRPr="00082753" w:rsidRDefault="00082753" w:rsidP="00082753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  <w:lang w:val="fr-BE"/>
        </w:rPr>
      </w:pPr>
      <w:r w:rsidRPr="00082753">
        <w:rPr>
          <w:rFonts w:asciiTheme="minorHAnsi" w:hAnsiTheme="minorHAnsi"/>
          <w:b/>
          <w:sz w:val="24"/>
          <w:szCs w:val="24"/>
          <w:lang w:val="fr-BE"/>
        </w:rPr>
        <w:t>Fertilité</w:t>
      </w:r>
    </w:p>
    <w:p w:rsidR="00082753" w:rsidRPr="00082753" w:rsidRDefault="00082753" w:rsidP="00082753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fr-BE"/>
        </w:rPr>
      </w:pPr>
      <w:r w:rsidRPr="00082753">
        <w:rPr>
          <w:rFonts w:asciiTheme="minorHAnsi" w:hAnsiTheme="minorHAnsi"/>
          <w:sz w:val="24"/>
          <w:szCs w:val="24"/>
          <w:lang w:val="fr-BE"/>
        </w:rPr>
        <w:t>Il n’existe pas de données pertinentes concernant la fertilité chez l’homme. Les études de fertilité effectuées chez l’animal ne suggèrent aucun effet toxique.</w:t>
      </w:r>
    </w:p>
    <w:p w:rsidR="00082753" w:rsidRPr="00082753" w:rsidRDefault="00082753" w:rsidP="00D03D7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fr-BE"/>
        </w:rPr>
      </w:pP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4.7</w:t>
      </w:r>
      <w:r w:rsidRPr="00082753">
        <w:rPr>
          <w:rFonts w:asciiTheme="minorHAnsi" w:hAnsiTheme="minorHAnsi"/>
          <w:b/>
          <w:sz w:val="24"/>
          <w:szCs w:val="24"/>
        </w:rPr>
        <w:tab/>
        <w:t>Effets sur l’aptitude à conduire des véhicules et à utiliser des machines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D03D75" w:rsidP="00D03D7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Les effets d’un traitement par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sur l’aptitude à conduire des véhicules et la capacité d’utiliser des machines n’ont pas été étudiés. Les patients qui présentent des </w:t>
      </w:r>
      <w:r w:rsidRPr="00082753">
        <w:rPr>
          <w:rFonts w:asciiTheme="minorHAnsi" w:hAnsiTheme="minorHAnsi"/>
          <w:sz w:val="24"/>
          <w:szCs w:val="24"/>
        </w:rPr>
        <w:lastRenderedPageBreak/>
        <w:t>étourdissements (un des effets indésirables) doivent éviter de conduire un véhicule ou d’utiliser des machines.</w:t>
      </w:r>
    </w:p>
    <w:p w:rsidR="00D03D75" w:rsidRPr="00082753" w:rsidRDefault="00D03D75" w:rsidP="00D03D75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4.8</w:t>
      </w:r>
      <w:r w:rsidRPr="00082753">
        <w:rPr>
          <w:rFonts w:asciiTheme="minorHAnsi" w:hAnsiTheme="minorHAnsi"/>
          <w:b/>
          <w:sz w:val="24"/>
          <w:szCs w:val="24"/>
        </w:rPr>
        <w:tab/>
        <w:t>Effets indésirables</w:t>
      </w:r>
    </w:p>
    <w:p w:rsidR="00282B8D" w:rsidRPr="00082753" w:rsidRDefault="00282B8D" w:rsidP="002E5678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082753" w:rsidRPr="00082753" w:rsidRDefault="00082753" w:rsidP="00082753">
      <w:pPr>
        <w:suppressAutoHyphens/>
        <w:spacing w:line="276" w:lineRule="auto"/>
        <w:ind w:left="567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Les effets indésirables rapportés avec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sont définies comme suit :</w:t>
      </w:r>
    </w:p>
    <w:p w:rsidR="00082753" w:rsidRPr="00082753" w:rsidRDefault="00082753" w:rsidP="00082753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très fréquent (≥1/10),</w:t>
      </w:r>
    </w:p>
    <w:p w:rsidR="00082753" w:rsidRPr="00082753" w:rsidRDefault="00082753" w:rsidP="00082753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fréquent (de ≥1/100 à &lt;1/10), </w:t>
      </w:r>
    </w:p>
    <w:p w:rsidR="00082753" w:rsidRPr="00082753" w:rsidRDefault="00082753" w:rsidP="00082753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peu fréquent (de ≥1/1000 à &lt;1/100), </w:t>
      </w:r>
    </w:p>
    <w:p w:rsidR="00082753" w:rsidRPr="00082753" w:rsidRDefault="00082753" w:rsidP="00082753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rare (de ≥1/10000 à &lt;1/1000),</w:t>
      </w:r>
    </w:p>
    <w:p w:rsidR="00082753" w:rsidRPr="00082753" w:rsidRDefault="00082753" w:rsidP="00082753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très rare (&lt;1/10000),</w:t>
      </w:r>
    </w:p>
    <w:p w:rsidR="00082753" w:rsidRPr="00082753" w:rsidRDefault="00082753" w:rsidP="00082753">
      <w:pPr>
        <w:pStyle w:val="ListParagraph"/>
        <w:numPr>
          <w:ilvl w:val="0"/>
          <w:numId w:val="18"/>
        </w:numPr>
        <w:suppressAutoHyphens/>
        <w:spacing w:line="276" w:lineRule="auto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fréquence indéterminée : ne peut être estimée sur la base des données disponible. </w:t>
      </w:r>
    </w:p>
    <w:p w:rsidR="000C3F81" w:rsidRPr="00082753" w:rsidRDefault="000C3F81" w:rsidP="00C37E0A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8505" w:type="dxa"/>
        <w:tblInd w:w="562" w:type="dxa"/>
        <w:tblLook w:val="04A0" w:firstRow="1" w:lastRow="0" w:firstColumn="1" w:lastColumn="0" w:noHBand="0" w:noVBand="1"/>
      </w:tblPr>
      <w:tblGrid>
        <w:gridCol w:w="5812"/>
        <w:gridCol w:w="2693"/>
      </w:tblGrid>
      <w:tr w:rsidR="000C3F81" w:rsidRPr="00082753" w:rsidTr="00041BBF">
        <w:tc>
          <w:tcPr>
            <w:tcW w:w="8505" w:type="dxa"/>
            <w:gridSpan w:val="2"/>
          </w:tcPr>
          <w:p w:rsidR="000C3F81" w:rsidRPr="00082753" w:rsidRDefault="000C3F81" w:rsidP="00C37E0A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hématologiques et du système lymphatique</w:t>
            </w:r>
          </w:p>
        </w:tc>
      </w:tr>
      <w:tr w:rsidR="000C3F81" w:rsidRPr="00082753" w:rsidTr="00E2176E">
        <w:tc>
          <w:tcPr>
            <w:tcW w:w="5812" w:type="dxa"/>
          </w:tcPr>
          <w:p w:rsidR="00C37E0A" w:rsidRPr="00082753" w:rsidRDefault="00C37E0A" w:rsidP="00C37E0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Anémie </w:t>
            </w:r>
          </w:p>
          <w:p w:rsidR="000C3F81" w:rsidRPr="00082753" w:rsidRDefault="00C37E0A" w:rsidP="00C37E0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Neutropénie, agranulocytose,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thrombocytopénie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pancytopénie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C37E0A" w:rsidRPr="00082753" w:rsidRDefault="00C37E0A" w:rsidP="00C37E0A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Peu fréquent  </w:t>
            </w:r>
          </w:p>
          <w:p w:rsidR="000C3F81" w:rsidRPr="00082753" w:rsidRDefault="00C37E0A" w:rsidP="00C37E0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Très rare </w:t>
            </w:r>
          </w:p>
        </w:tc>
      </w:tr>
      <w:tr w:rsidR="00454A60" w:rsidRPr="00082753" w:rsidTr="00041BBF">
        <w:tc>
          <w:tcPr>
            <w:tcW w:w="8505" w:type="dxa"/>
            <w:gridSpan w:val="2"/>
          </w:tcPr>
          <w:p w:rsidR="00454A60" w:rsidRPr="00082753" w:rsidRDefault="00454A60" w:rsidP="00C37E0A">
            <w:pPr>
              <w:spacing w:line="276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du système immunitaire</w:t>
            </w:r>
          </w:p>
        </w:tc>
      </w:tr>
      <w:tr w:rsidR="00454A60" w:rsidRPr="00082753" w:rsidTr="00E2176E">
        <w:tc>
          <w:tcPr>
            <w:tcW w:w="5812" w:type="dxa"/>
          </w:tcPr>
          <w:p w:rsidR="00C37E0A" w:rsidRPr="00082753" w:rsidRDefault="00C37E0A" w:rsidP="00C37E0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Réaction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anaphylactoïde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angio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>-œdème, lupus érythémateux cutané et systémique</w:t>
            </w:r>
          </w:p>
          <w:p w:rsidR="00454A60" w:rsidRPr="00082753" w:rsidRDefault="00C37E0A" w:rsidP="00E2176E">
            <w:pPr>
              <w:spacing w:line="276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Réaction anaphylactique, réaction de type maladie sérique </w:t>
            </w:r>
          </w:p>
        </w:tc>
        <w:tc>
          <w:tcPr>
            <w:tcW w:w="2693" w:type="dxa"/>
          </w:tcPr>
          <w:p w:rsidR="00454A60" w:rsidRPr="00082753" w:rsidRDefault="00C37E0A" w:rsidP="00ED59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Très rare</w:t>
            </w:r>
          </w:p>
          <w:p w:rsidR="00C37E0A" w:rsidRPr="00082753" w:rsidRDefault="00C37E0A" w:rsidP="00ED59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C37E0A" w:rsidRPr="00082753" w:rsidRDefault="00C37E0A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454A60" w:rsidRPr="00082753" w:rsidTr="00041BBF">
        <w:tc>
          <w:tcPr>
            <w:tcW w:w="8505" w:type="dxa"/>
            <w:gridSpan w:val="2"/>
          </w:tcPr>
          <w:p w:rsidR="00454A60" w:rsidRPr="00082753" w:rsidRDefault="00454A60" w:rsidP="00C37E0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Troubles du métabolisme et de la nutrition</w:t>
            </w:r>
          </w:p>
        </w:tc>
      </w:tr>
      <w:tr w:rsidR="000C3F81" w:rsidRPr="00082753" w:rsidTr="00E2176E">
        <w:tc>
          <w:tcPr>
            <w:tcW w:w="5812" w:type="dxa"/>
          </w:tcPr>
          <w:p w:rsidR="000C3F81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Diminution de l’appétit </w:t>
            </w:r>
          </w:p>
        </w:tc>
        <w:tc>
          <w:tcPr>
            <w:tcW w:w="2693" w:type="dxa"/>
          </w:tcPr>
          <w:p w:rsidR="000C3F81" w:rsidRPr="00082753" w:rsidRDefault="00E2176E" w:rsidP="00ED59DA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Très fréquent</w:t>
            </w:r>
          </w:p>
        </w:tc>
      </w:tr>
      <w:tr w:rsidR="00454A60" w:rsidRPr="00082753" w:rsidTr="00041BBF">
        <w:tc>
          <w:tcPr>
            <w:tcW w:w="8505" w:type="dxa"/>
            <w:gridSpan w:val="2"/>
          </w:tcPr>
          <w:p w:rsidR="00454A60" w:rsidRPr="00082753" w:rsidRDefault="00454A60" w:rsidP="00C37E0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psychiatriques</w:t>
            </w:r>
          </w:p>
        </w:tc>
      </w:tr>
      <w:tr w:rsidR="00454A60" w:rsidRPr="00082753" w:rsidTr="00E2176E">
        <w:tc>
          <w:tcPr>
            <w:tcW w:w="5812" w:type="dxa"/>
          </w:tcPr>
          <w:p w:rsidR="00E2176E" w:rsidRPr="00082753" w:rsidRDefault="006F693C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Dépression</w:t>
            </w:r>
          </w:p>
          <w:p w:rsidR="00454A60" w:rsidRPr="00082753" w:rsidRDefault="006F693C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Anxiété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Fréquent</w:t>
            </w:r>
          </w:p>
          <w:p w:rsidR="00454A60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Peu fréquent</w:t>
            </w:r>
          </w:p>
        </w:tc>
      </w:tr>
      <w:tr w:rsidR="005940DF" w:rsidRPr="00082753" w:rsidTr="00041BBF">
        <w:tc>
          <w:tcPr>
            <w:tcW w:w="8505" w:type="dxa"/>
            <w:gridSpan w:val="2"/>
          </w:tcPr>
          <w:p w:rsidR="005940DF" w:rsidRPr="00082753" w:rsidRDefault="005940DF" w:rsidP="00C37E0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du système nerveux</w:t>
            </w:r>
          </w:p>
        </w:tc>
      </w:tr>
      <w:tr w:rsidR="005940DF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Céphalées</w:t>
            </w:r>
          </w:p>
          <w:p w:rsidR="00E2176E" w:rsidRPr="00082753" w:rsidRDefault="006F693C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Dysgueusie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, y compris agueusie</w:t>
            </w:r>
            <w:r w:rsidR="00E2176E" w:rsidRPr="00082753">
              <w:rPr>
                <w:rFonts w:asciiTheme="minorHAnsi" w:hAnsiTheme="minorHAnsi"/>
                <w:sz w:val="24"/>
                <w:szCs w:val="24"/>
              </w:rPr>
              <w:t>, étourdissement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Paresthésie et hypoesthésie </w:t>
            </w:r>
          </w:p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Anosmie, y compris anosmie permanente,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hyposmie</w:t>
            </w:r>
            <w:proofErr w:type="spellEnd"/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Très fréquent 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Peu fréquent</w:t>
            </w:r>
          </w:p>
          <w:p w:rsidR="005940DF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5940DF" w:rsidRPr="00082753" w:rsidTr="00041BBF">
        <w:tc>
          <w:tcPr>
            <w:tcW w:w="8505" w:type="dxa"/>
            <w:gridSpan w:val="2"/>
          </w:tcPr>
          <w:p w:rsidR="005940DF" w:rsidRPr="00082753" w:rsidRDefault="005940DF" w:rsidP="00C37E0A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oculaires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Troubles de la vue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Vue perturbée, diminution de l’acuité visuelle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de l’oreille et du labyrinthe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Acouphène</w:t>
            </w:r>
          </w:p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Hypoacousie 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Peu 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vasculaires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lastRenderedPageBreak/>
              <w:t>Vascularite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gastro-intestinales</w:t>
            </w:r>
          </w:p>
        </w:tc>
      </w:tr>
      <w:tr w:rsidR="00E2176E" w:rsidRPr="00082753" w:rsidTr="00E2176E">
        <w:tc>
          <w:tcPr>
            <w:tcW w:w="5812" w:type="dxa"/>
          </w:tcPr>
          <w:p w:rsidR="00082753" w:rsidRDefault="00082753" w:rsidP="0008275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Ballonnement de l’abdomen, diminution de l’appétit, dyspepsie, nausées, douleur abdominale légère, diarrhée</w:t>
            </w:r>
          </w:p>
          <w:p w:rsidR="00E2176E" w:rsidRPr="00082753" w:rsidRDefault="00082753" w:rsidP="0008275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Pancréatite</w:t>
            </w:r>
            <w:r w:rsidR="00E2176E" w:rsidRPr="00082753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</w:tc>
        <w:tc>
          <w:tcPr>
            <w:tcW w:w="2693" w:type="dxa"/>
          </w:tcPr>
          <w:p w:rsidR="00082753" w:rsidRPr="00082753" w:rsidRDefault="00082753" w:rsidP="00082753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Très fréquent :</w:t>
            </w:r>
          </w:p>
          <w:p w:rsidR="00082753" w:rsidRPr="00082753" w:rsidRDefault="00082753" w:rsidP="00082753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082753" w:rsidP="00082753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hépatobiliaires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Insuffisance hépatique, hépatite, ictère, cholestase, élévation des enzymes hépatiques 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Rare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de la peau et du tissu sous-cutané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Eruption cutanée, urticaire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Réactions de photosensibilité (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photodermatose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>, lucite polymorphe)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Erythème polymorphe, syndrome de Stevens-Johnson,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nécrolyse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 xml:space="preserve"> épidermique toxique (syndrome de Lyell),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pustulose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 xml:space="preserve"> exanthématique aiguë généralisée (PEAG), éruptions cutanées toxiques, dermatite exfoliative, dermatite bulleuse, éruptions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psoriasiformes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 xml:space="preserve"> ou exacerbation d’un psoriasis, alopécie</w:t>
            </w:r>
          </w:p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Éruption cutanée médicamenteuse s’accompagnant d’une éosinophilie et de symptômes systémiques. 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Très 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Peu 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Très rare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Affections musculo-squelettiques et systémiques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Arthralgie, myalgie</w:t>
            </w:r>
          </w:p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Rhabdomyolyse 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Très 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Troubles généraux et anomalies au site d’administration</w:t>
            </w:r>
          </w:p>
        </w:tc>
      </w:tr>
      <w:tr w:rsidR="00E2176E" w:rsidRPr="00082753" w:rsidTr="00E2176E">
        <w:tc>
          <w:tcPr>
            <w:tcW w:w="5812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Fatigue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Pyrexie </w:t>
            </w:r>
          </w:p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Syndrome pseudo-grippal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Peu 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  <w:tr w:rsidR="00E2176E" w:rsidRPr="00082753" w:rsidTr="00041BBF">
        <w:tc>
          <w:tcPr>
            <w:tcW w:w="8505" w:type="dxa"/>
            <w:gridSpan w:val="2"/>
          </w:tcPr>
          <w:p w:rsidR="00E2176E" w:rsidRPr="00082753" w:rsidRDefault="00E2176E" w:rsidP="00E2176E">
            <w:pPr>
              <w:spacing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b/>
                <w:sz w:val="24"/>
                <w:szCs w:val="24"/>
              </w:rPr>
              <w:t>Investigations</w:t>
            </w:r>
          </w:p>
        </w:tc>
      </w:tr>
      <w:tr w:rsidR="00E2176E" w:rsidRPr="00082753" w:rsidTr="00E2176E">
        <w:tc>
          <w:tcPr>
            <w:tcW w:w="5812" w:type="dxa"/>
          </w:tcPr>
          <w:p w:rsidR="006F693C" w:rsidRDefault="00E2176E" w:rsidP="006F693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Perte de </w:t>
            </w:r>
            <w:r w:rsidR="006F693C">
              <w:rPr>
                <w:rFonts w:asciiTheme="minorHAnsi" w:hAnsiTheme="minorHAnsi"/>
                <w:sz w:val="24"/>
                <w:szCs w:val="24"/>
              </w:rPr>
              <w:t>poids</w:t>
            </w:r>
          </w:p>
          <w:p w:rsidR="00E2176E" w:rsidRPr="00082753" w:rsidRDefault="00E2176E" w:rsidP="006F693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 xml:space="preserve">Elévation des taux sanguins de créatine </w:t>
            </w:r>
            <w:proofErr w:type="spellStart"/>
            <w:r w:rsidRPr="00082753">
              <w:rPr>
                <w:rFonts w:asciiTheme="minorHAnsi" w:hAnsiTheme="minorHAnsi"/>
                <w:sz w:val="24"/>
                <w:szCs w:val="24"/>
              </w:rPr>
              <w:t>phosphokinase</w:t>
            </w:r>
            <w:proofErr w:type="spellEnd"/>
            <w:r w:rsidRPr="0008275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2176E" w:rsidRPr="00082753" w:rsidRDefault="00E2176E" w:rsidP="00E2176E">
            <w:p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Peu fréquent</w:t>
            </w:r>
          </w:p>
          <w:p w:rsidR="00E2176E" w:rsidRPr="00082753" w:rsidRDefault="00E2176E" w:rsidP="00E2176E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082753">
              <w:rPr>
                <w:rFonts w:asciiTheme="minorHAnsi" w:hAnsiTheme="minorHAnsi"/>
                <w:sz w:val="24"/>
                <w:szCs w:val="24"/>
              </w:rPr>
              <w:t>Fréquence indéterminée</w:t>
            </w:r>
          </w:p>
        </w:tc>
      </w:tr>
    </w:tbl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4.9</w:t>
      </w:r>
      <w:r w:rsidRPr="00082753">
        <w:rPr>
          <w:rFonts w:asciiTheme="minorHAnsi" w:hAnsiTheme="minorHAnsi"/>
          <w:b/>
          <w:sz w:val="24"/>
          <w:szCs w:val="24"/>
        </w:rPr>
        <w:tab/>
        <w:t>Surdosage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ED59DA" w:rsidRPr="00082753" w:rsidRDefault="00ED59DA" w:rsidP="00041BBF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Plusieurs cas de surdosage (allant jusqu’à 5 g) ont été rapportés. Ces surdosages ont induit de céphalées, de nausées, des douleurs épigastriques et des étourdissements.</w:t>
      </w:r>
    </w:p>
    <w:p w:rsidR="00ED59DA" w:rsidRPr="00082753" w:rsidRDefault="00C659D1" w:rsidP="00041BBF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Le traitement recommandé en cas de surdosage comprend la prévention de l’absorption du médicament par l’administration de charbon activé (absorbant) et, si nécessaire, un traitement de soutien symptomatique.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659D1" w:rsidRPr="00082753" w:rsidRDefault="00C659D1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461068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5.</w:t>
      </w:r>
      <w:r w:rsidRPr="00082753">
        <w:rPr>
          <w:rFonts w:asciiTheme="minorHAnsi" w:hAnsiTheme="minorHAnsi"/>
          <w:b/>
          <w:sz w:val="24"/>
          <w:szCs w:val="24"/>
        </w:rPr>
        <w:tab/>
        <w:t>PROPRIÉTÉ</w:t>
      </w:r>
      <w:r w:rsidR="00282B8D" w:rsidRPr="00082753">
        <w:rPr>
          <w:rFonts w:asciiTheme="minorHAnsi" w:hAnsiTheme="minorHAnsi"/>
          <w:b/>
          <w:sz w:val="24"/>
          <w:szCs w:val="24"/>
        </w:rPr>
        <w:t>S PHARMACOLOGIQUES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5.1</w:t>
      </w:r>
      <w:r w:rsidRPr="00082753">
        <w:rPr>
          <w:rFonts w:asciiTheme="minorHAnsi" w:hAnsiTheme="minorHAnsi"/>
          <w:b/>
          <w:sz w:val="24"/>
          <w:szCs w:val="24"/>
        </w:rPr>
        <w:tab/>
        <w:t>Propriétés pharmacodynamiques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C659D1" w:rsidRPr="00082753" w:rsidRDefault="00282B8D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 xml:space="preserve">Classe </w:t>
      </w:r>
      <w:proofErr w:type="spellStart"/>
      <w:r w:rsidRPr="00082753">
        <w:rPr>
          <w:rFonts w:asciiTheme="minorHAnsi" w:hAnsiTheme="minorHAnsi"/>
          <w:b/>
          <w:sz w:val="24"/>
          <w:szCs w:val="24"/>
        </w:rPr>
        <w:t>pharmacothérapeutique</w:t>
      </w:r>
      <w:proofErr w:type="spellEnd"/>
      <w:r w:rsidRPr="00082753">
        <w:rPr>
          <w:rFonts w:asciiTheme="minorHAnsi" w:hAnsiTheme="minorHAnsi"/>
          <w:b/>
          <w:sz w:val="24"/>
          <w:szCs w:val="24"/>
        </w:rPr>
        <w:t xml:space="preserve"> :</w:t>
      </w:r>
      <w:r w:rsidRPr="00082753">
        <w:rPr>
          <w:rFonts w:asciiTheme="minorHAnsi" w:hAnsiTheme="minorHAnsi"/>
          <w:sz w:val="24"/>
          <w:szCs w:val="24"/>
        </w:rPr>
        <w:t xml:space="preserve"> </w:t>
      </w:r>
      <w:r w:rsidR="00C659D1" w:rsidRPr="00082753">
        <w:rPr>
          <w:rFonts w:asciiTheme="minorHAnsi" w:hAnsiTheme="minorHAnsi"/>
          <w:sz w:val="24"/>
          <w:szCs w:val="24"/>
        </w:rPr>
        <w:t>antimycosique oral.</w:t>
      </w:r>
    </w:p>
    <w:p w:rsidR="00282B8D" w:rsidRPr="00082753" w:rsidRDefault="00C659D1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Code ATC :</w:t>
      </w:r>
      <w:r w:rsidRPr="00082753">
        <w:rPr>
          <w:rFonts w:asciiTheme="minorHAnsi" w:hAnsiTheme="minorHAnsi"/>
          <w:sz w:val="24"/>
          <w:szCs w:val="24"/>
        </w:rPr>
        <w:t xml:space="preserve"> D01BA02</w:t>
      </w:r>
      <w:r w:rsidR="00282B8D" w:rsidRPr="00082753">
        <w:rPr>
          <w:rFonts w:asciiTheme="minorHAnsi" w:hAnsiTheme="minorHAnsi"/>
          <w:sz w:val="24"/>
          <w:szCs w:val="24"/>
        </w:rPr>
        <w:t xml:space="preserve"> </w:t>
      </w:r>
    </w:p>
    <w:p w:rsidR="00C659D1" w:rsidRPr="00082753" w:rsidRDefault="00C659D1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appartient à la classe des antimycosiques de type </w:t>
      </w:r>
      <w:proofErr w:type="spellStart"/>
      <w:r w:rsidRPr="00082753">
        <w:rPr>
          <w:rFonts w:asciiTheme="minorHAnsi" w:hAnsiTheme="minorHAnsi"/>
          <w:sz w:val="24"/>
          <w:szCs w:val="24"/>
        </w:rPr>
        <w:t>allylamines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. Elle possède un large spectre d’activité antimycosique. A faibles concentrations,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présente une activité fongicide sur les </w:t>
      </w:r>
      <w:proofErr w:type="spellStart"/>
      <w:r w:rsidRPr="00082753">
        <w:rPr>
          <w:rFonts w:asciiTheme="minorHAnsi" w:hAnsiTheme="minorHAnsi"/>
          <w:sz w:val="24"/>
          <w:szCs w:val="24"/>
        </w:rPr>
        <w:t>dermatophytes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(Trichophyton </w:t>
      </w:r>
      <w:proofErr w:type="spellStart"/>
      <w:r w:rsidRPr="00082753">
        <w:rPr>
          <w:rFonts w:asciiTheme="minorHAnsi" w:hAnsiTheme="minorHAnsi"/>
          <w:sz w:val="24"/>
          <w:szCs w:val="24"/>
        </w:rPr>
        <w:t>spp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82753">
        <w:rPr>
          <w:rFonts w:asciiTheme="minorHAnsi" w:hAnsiTheme="minorHAnsi"/>
          <w:sz w:val="24"/>
          <w:szCs w:val="24"/>
        </w:rPr>
        <w:t>Microsporum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spp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82753">
        <w:rPr>
          <w:rFonts w:asciiTheme="minorHAnsi" w:hAnsiTheme="minorHAnsi"/>
          <w:sz w:val="24"/>
          <w:szCs w:val="24"/>
        </w:rPr>
        <w:t>Epidermophyton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floccosum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), les champignons (Aspergillus </w:t>
      </w:r>
      <w:proofErr w:type="spellStart"/>
      <w:r w:rsidRPr="00082753">
        <w:rPr>
          <w:rFonts w:asciiTheme="minorHAnsi" w:hAnsiTheme="minorHAnsi"/>
          <w:sz w:val="24"/>
          <w:szCs w:val="24"/>
        </w:rPr>
        <w:t>spp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82753">
        <w:rPr>
          <w:rFonts w:asciiTheme="minorHAnsi" w:hAnsiTheme="minorHAnsi"/>
          <w:sz w:val="24"/>
          <w:szCs w:val="24"/>
        </w:rPr>
        <w:t>Scopulariopsis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brevicaulis</w:t>
      </w:r>
      <w:proofErr w:type="spellEnd"/>
      <w:r w:rsidRPr="00082753">
        <w:rPr>
          <w:rFonts w:asciiTheme="minorHAnsi" w:hAnsiTheme="minorHAnsi"/>
          <w:sz w:val="24"/>
          <w:szCs w:val="24"/>
        </w:rPr>
        <w:t>), divers champignons dimorphes (</w:t>
      </w:r>
      <w:proofErr w:type="spellStart"/>
      <w:r w:rsidRPr="00082753">
        <w:rPr>
          <w:rFonts w:asciiTheme="minorHAnsi" w:hAnsiTheme="minorHAnsi"/>
          <w:sz w:val="24"/>
          <w:szCs w:val="24"/>
        </w:rPr>
        <w:t>Sporothrix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schenkii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) et certaines levures (Candida </w:t>
      </w:r>
      <w:proofErr w:type="spellStart"/>
      <w:r w:rsidRPr="00082753">
        <w:rPr>
          <w:rFonts w:asciiTheme="minorHAnsi" w:hAnsiTheme="minorHAnsi"/>
          <w:sz w:val="24"/>
          <w:szCs w:val="24"/>
        </w:rPr>
        <w:t>parapsilosis</w:t>
      </w:r>
      <w:proofErr w:type="spellEnd"/>
      <w:r w:rsidRPr="00082753">
        <w:rPr>
          <w:rFonts w:asciiTheme="minorHAnsi" w:hAnsiTheme="minorHAnsi"/>
          <w:sz w:val="24"/>
          <w:szCs w:val="24"/>
        </w:rPr>
        <w:t>).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Cet effet fongicide est dû à une accumulation intracellulaire de </w:t>
      </w:r>
      <w:proofErr w:type="spellStart"/>
      <w:r w:rsidRPr="00082753">
        <w:rPr>
          <w:rFonts w:asciiTheme="minorHAnsi" w:hAnsiTheme="minorHAnsi"/>
          <w:sz w:val="24"/>
          <w:szCs w:val="24"/>
        </w:rPr>
        <w:t>squalène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et à une déficience en ergostérol, qui </w:t>
      </w:r>
      <w:proofErr w:type="gramStart"/>
      <w:r w:rsidRPr="00082753">
        <w:rPr>
          <w:rFonts w:asciiTheme="minorHAnsi" w:hAnsiTheme="minorHAnsi"/>
          <w:sz w:val="24"/>
          <w:szCs w:val="24"/>
        </w:rPr>
        <w:t>induisent</w:t>
      </w:r>
      <w:proofErr w:type="gramEnd"/>
      <w:r w:rsidRPr="00082753">
        <w:rPr>
          <w:rFonts w:asciiTheme="minorHAnsi" w:hAnsiTheme="minorHAnsi"/>
          <w:sz w:val="24"/>
          <w:szCs w:val="24"/>
        </w:rPr>
        <w:t xml:space="preserve"> la mort cellulaire du champignon.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intervient à un stade précoce de la biosynthèse du stérol fongique, un élément essentiel de la membrane cellulaire du champignon, et elle inhibe de manière spécifique la </w:t>
      </w:r>
      <w:proofErr w:type="spellStart"/>
      <w:r w:rsidRPr="00082753">
        <w:rPr>
          <w:rFonts w:asciiTheme="minorHAnsi" w:hAnsiTheme="minorHAnsi"/>
          <w:sz w:val="24"/>
          <w:szCs w:val="24"/>
        </w:rPr>
        <w:t>squalène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époxydase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dans la membrane cellulaire du champignon. Cette enzyme n’est pas liée au système du cytochrome P450. Par </w:t>
      </w:r>
      <w:r w:rsidR="00070084" w:rsidRPr="00082753">
        <w:rPr>
          <w:rFonts w:asciiTheme="minorHAnsi" w:hAnsiTheme="minorHAnsi"/>
          <w:sz w:val="24"/>
          <w:szCs w:val="24"/>
        </w:rPr>
        <w:t>conséquent</w:t>
      </w:r>
      <w:r w:rsidRPr="00082753">
        <w:rPr>
          <w:rFonts w:asciiTheme="minorHAnsi" w:hAnsiTheme="minorHAnsi"/>
          <w:sz w:val="24"/>
          <w:szCs w:val="24"/>
        </w:rPr>
        <w:t xml:space="preserve">,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n’influence aucunement le métabolisme des hormones ou d’autres médicaments.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Après une prise orale,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</w:t>
      </w:r>
      <w:r w:rsidR="00070084" w:rsidRPr="00082753">
        <w:rPr>
          <w:rFonts w:asciiTheme="minorHAnsi" w:hAnsiTheme="minorHAnsi"/>
          <w:sz w:val="24"/>
          <w:szCs w:val="24"/>
        </w:rPr>
        <w:t>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s’accumule à concentrations fongicides dans la peau, les cheveux, les poils corporels et les ongles. Il y est encore présent 15 à 20 jours après l’arrêt du traitement.</w:t>
      </w: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5.2</w:t>
      </w:r>
      <w:r w:rsidRPr="00082753">
        <w:rPr>
          <w:rFonts w:asciiTheme="minorHAnsi" w:hAnsiTheme="minorHAnsi"/>
          <w:b/>
          <w:sz w:val="24"/>
          <w:szCs w:val="24"/>
        </w:rPr>
        <w:tab/>
        <w:t>Propriétés pharmacocinétiques</w:t>
      </w: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C659D1" w:rsidRPr="006F693C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6F693C">
        <w:rPr>
          <w:rFonts w:asciiTheme="minorHAnsi" w:hAnsiTheme="minorHAnsi"/>
          <w:b/>
          <w:sz w:val="24"/>
          <w:szCs w:val="24"/>
        </w:rPr>
        <w:t>Absorption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Le C</w:t>
      </w:r>
      <w:r w:rsidRPr="00082753">
        <w:rPr>
          <w:rFonts w:asciiTheme="minorHAnsi" w:hAnsiTheme="minorHAnsi"/>
          <w:sz w:val="24"/>
          <w:szCs w:val="24"/>
          <w:vertAlign w:val="subscript"/>
        </w:rPr>
        <w:t>max</w:t>
      </w:r>
      <w:r w:rsidRPr="00082753">
        <w:rPr>
          <w:rFonts w:asciiTheme="minorHAnsi" w:hAnsiTheme="minorHAnsi"/>
          <w:sz w:val="24"/>
          <w:szCs w:val="24"/>
        </w:rPr>
        <w:t xml:space="preserve"> de 0,97 </w:t>
      </w:r>
      <w:proofErr w:type="spellStart"/>
      <w:r w:rsidRPr="00082753">
        <w:rPr>
          <w:rFonts w:asciiTheme="minorHAnsi" w:hAnsiTheme="minorHAnsi"/>
          <w:sz w:val="24"/>
          <w:szCs w:val="24"/>
        </w:rPr>
        <w:t>μg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/ml est atteint dans les 2 heures suivant l’administration orale d’une dose unique de 250 mg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. 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demi-vie d’absorption est de 0,8 heure et la demi-vie de distribution est de 4,6 heures. Bien que la prise de nourriture influence légèrement la biodisponibilité de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, il n’est pas nécessaire d’adapter la dose.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Dans un état « à l’équilibre » (70% de l’état d’équilibre est atteint après environ 28 jours), le pic plasmatique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, en comparaison avec une dose unique, a été 25% plus élevée en moyenne et l’A</w:t>
      </w:r>
      <w:r w:rsidR="00281CF0" w:rsidRPr="00082753">
        <w:rPr>
          <w:rFonts w:asciiTheme="minorHAnsi" w:hAnsiTheme="minorHAnsi"/>
          <w:sz w:val="24"/>
          <w:szCs w:val="24"/>
        </w:rPr>
        <w:t>SF</w:t>
      </w:r>
      <w:r w:rsidRPr="00082753">
        <w:rPr>
          <w:rFonts w:asciiTheme="minorHAnsi" w:hAnsiTheme="minorHAnsi"/>
          <w:sz w:val="24"/>
          <w:szCs w:val="24"/>
        </w:rPr>
        <w:t xml:space="preserve"> plasmatique a augmenté d’un facteur 2,3.</w:t>
      </w:r>
    </w:p>
    <w:p w:rsidR="00281CF0" w:rsidRPr="00082753" w:rsidRDefault="00281CF0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C659D1" w:rsidRPr="006F693C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6F693C">
        <w:rPr>
          <w:rFonts w:asciiTheme="minorHAnsi" w:hAnsiTheme="minorHAnsi"/>
          <w:b/>
          <w:sz w:val="24"/>
          <w:szCs w:val="24"/>
        </w:rPr>
        <w:t>Distribution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se lie fortement aux protéines plasmatiques (99 %). Elle diffuse rapidement à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travers le derme et s’accumule dans la couche cornée lipophile.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est également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excrétée dans le sébum, des concentrations élevées sont observées dans les follicules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pileux, les cheveux et les zones cutanées riches en sébum. </w:t>
      </w:r>
      <w:r w:rsidRPr="00082753">
        <w:rPr>
          <w:rFonts w:asciiTheme="minorHAnsi" w:hAnsiTheme="minorHAnsi"/>
          <w:sz w:val="24"/>
          <w:szCs w:val="24"/>
        </w:rPr>
        <w:lastRenderedPageBreak/>
        <w:t>Il a également été démontré que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est présente dans les ongles pendant les premières semaines du traitement.</w:t>
      </w:r>
    </w:p>
    <w:p w:rsidR="00281CF0" w:rsidRPr="00082753" w:rsidRDefault="00281CF0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C659D1" w:rsidRPr="006F693C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6F693C">
        <w:rPr>
          <w:rFonts w:asciiTheme="minorHAnsi" w:hAnsiTheme="minorHAnsi"/>
          <w:b/>
          <w:sz w:val="24"/>
          <w:szCs w:val="24"/>
        </w:rPr>
        <w:t>Biotransformation/Métabolisme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est rapidement et largement métabolisée par 7 isoenzymes du type CYP,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principalement CYP2C9, CYP1A2, CYP3A4, CYP2C8 et CYP2C19.</w:t>
      </w:r>
    </w:p>
    <w:p w:rsidR="00281CF0" w:rsidRPr="00082753" w:rsidRDefault="00281CF0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C659D1" w:rsidRPr="006F693C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6F693C">
        <w:rPr>
          <w:rFonts w:asciiTheme="minorHAnsi" w:hAnsiTheme="minorHAnsi"/>
          <w:b/>
          <w:sz w:val="24"/>
          <w:szCs w:val="24"/>
        </w:rPr>
        <w:t>Elimination</w:t>
      </w: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La biotransformation produit des métabolites </w:t>
      </w:r>
      <w:r w:rsidR="00281CF0" w:rsidRPr="00082753">
        <w:rPr>
          <w:rFonts w:asciiTheme="minorHAnsi" w:hAnsiTheme="minorHAnsi"/>
          <w:sz w:val="24"/>
          <w:szCs w:val="24"/>
        </w:rPr>
        <w:t>sans activité</w:t>
      </w:r>
      <w:r w:rsidRPr="00082753">
        <w:rPr>
          <w:rFonts w:asciiTheme="minorHAnsi" w:hAnsiTheme="minorHAnsi"/>
          <w:sz w:val="24"/>
          <w:szCs w:val="24"/>
        </w:rPr>
        <w:t xml:space="preserve"> antifongique, qui sont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principalement excrétés par voie urinaire. La demi-vie d’élimination est de 17 heures.</w:t>
      </w:r>
    </w:p>
    <w:p w:rsidR="00281CF0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Aucune accumulation du produit n’a été constatée dans le plasma.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</w:p>
    <w:p w:rsidR="00281CF0" w:rsidRPr="00082753" w:rsidRDefault="00281CF0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C659D1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Populations particulières</w:t>
      </w:r>
    </w:p>
    <w:p w:rsidR="00282B8D" w:rsidRPr="00082753" w:rsidRDefault="00C659D1" w:rsidP="00C659D1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Les concentrations plasmatiques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ne sont </w:t>
      </w:r>
      <w:r w:rsidRPr="006F693C">
        <w:rPr>
          <w:rFonts w:asciiTheme="minorHAnsi" w:hAnsiTheme="minorHAnsi"/>
          <w:b/>
          <w:sz w:val="24"/>
          <w:szCs w:val="24"/>
        </w:rPr>
        <w:t>pas influencées par l’âge</w:t>
      </w:r>
      <w:r w:rsidRPr="00082753">
        <w:rPr>
          <w:rFonts w:asciiTheme="minorHAnsi" w:hAnsiTheme="minorHAnsi"/>
          <w:sz w:val="24"/>
          <w:szCs w:val="24"/>
        </w:rPr>
        <w:t>, mais la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vitesse d’élimination peut être réduite chez les patients ayant des troubles de la fonction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hépatique ou rénale, ce qui induit une augmentation des concentrations plasmatiques de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>.</w:t>
      </w:r>
      <w:r w:rsidR="006F693C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Chez les patients présentant un </w:t>
      </w:r>
      <w:r w:rsidRPr="006F693C">
        <w:rPr>
          <w:rFonts w:asciiTheme="minorHAnsi" w:hAnsiTheme="minorHAnsi"/>
          <w:b/>
          <w:sz w:val="24"/>
          <w:szCs w:val="24"/>
        </w:rPr>
        <w:t>trouble hépatique préexistant</w:t>
      </w:r>
      <w:r w:rsidRPr="00082753">
        <w:rPr>
          <w:rFonts w:asciiTheme="minorHAnsi" w:hAnsiTheme="minorHAnsi"/>
          <w:sz w:val="24"/>
          <w:szCs w:val="24"/>
        </w:rPr>
        <w:t xml:space="preserve"> d’intensité légère à sévère, les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études pharmacocinétiques en administration unique ont démontré que la clairance de</w:t>
      </w:r>
      <w:r w:rsidR="00281CF0"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81CF0"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comprimés peut être réduite d’environ 50 %.</w:t>
      </w:r>
    </w:p>
    <w:p w:rsidR="00C659D1" w:rsidRPr="00082753" w:rsidRDefault="00C659D1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082753">
        <w:rPr>
          <w:rFonts w:asciiTheme="minorHAnsi" w:hAnsiTheme="minorHAnsi"/>
          <w:b/>
          <w:sz w:val="24"/>
          <w:szCs w:val="24"/>
        </w:rPr>
        <w:t>5.3</w:t>
      </w:r>
      <w:r w:rsidRPr="00082753">
        <w:rPr>
          <w:rFonts w:asciiTheme="minorHAnsi" w:hAnsiTheme="minorHAnsi"/>
          <w:b/>
          <w:sz w:val="24"/>
          <w:szCs w:val="24"/>
        </w:rPr>
        <w:tab/>
        <w:t>Données de sécurité préclinique</w:t>
      </w:r>
    </w:p>
    <w:p w:rsidR="00282B8D" w:rsidRPr="00082753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Au cours d’études à long terme (allant jusqu’à 1 an) conduites sur des rats et des chiens, on n’a pas observé d’effets toxiques marqués, dans aucune des deux espèces, avec une dose orale allant jusqu’à 100 mg/kg/jour. Avec une dose orale élevée, le foie et peut-être les reins ont été identifiés comme les organes cibles potentiels.</w:t>
      </w: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Dans une étude évaluant la </w:t>
      </w:r>
      <w:proofErr w:type="spellStart"/>
      <w:r w:rsidRPr="00082753">
        <w:rPr>
          <w:rFonts w:asciiTheme="minorHAnsi" w:hAnsiTheme="minorHAnsi"/>
          <w:sz w:val="24"/>
          <w:szCs w:val="24"/>
        </w:rPr>
        <w:t>carcinogénicité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de plus de 2 ans après administration orale à des souris, aucune transformation maligne ou phénomènes anormaux n'ont été mis en évidence à des dosages allant jusqu'à la dose maximale de 130 mg/kg (mâles) et 156 mg/kg (femelles) par jour.</w:t>
      </w: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Dans une étude de </w:t>
      </w:r>
      <w:proofErr w:type="spellStart"/>
      <w:r w:rsidRPr="00082753">
        <w:rPr>
          <w:rFonts w:asciiTheme="minorHAnsi" w:hAnsiTheme="minorHAnsi"/>
          <w:sz w:val="24"/>
          <w:szCs w:val="24"/>
        </w:rPr>
        <w:t>carcinogénicité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de plus de 2 ans sur l'administration orale à des rats jusqu'à la dose maximale de 69 mg/kg/jour, une augmentation de l'incidence des tumeurs hépatiques a été observée chez les mâles. Les modifications, qui ont été mises en rapport avec une prolifération des peroxysomes, n’étaient pas liées à l’espèce, car elles n’ont pas été observées lors de l’étude de cancérogenèse conduite sur des souris, ni dans d’autres études impliquant des souris, des chiens ou des singes.</w:t>
      </w: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lastRenderedPageBreak/>
        <w:t xml:space="preserve">Au cours d’une étude chez des singes, ayant reçu des doses élevées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, des irrégularités de la réfraction rétinienne ont été observées (dose non toxique 50 mg/kg). Ces irrégularités ont été </w:t>
      </w:r>
      <w:r w:rsidR="00070084" w:rsidRPr="00082753">
        <w:rPr>
          <w:rFonts w:asciiTheme="minorHAnsi" w:hAnsiTheme="minorHAnsi"/>
          <w:sz w:val="24"/>
          <w:szCs w:val="24"/>
        </w:rPr>
        <w:t>mises</w:t>
      </w:r>
      <w:r w:rsidRPr="00082753">
        <w:rPr>
          <w:rFonts w:asciiTheme="minorHAnsi" w:hAnsiTheme="minorHAnsi"/>
          <w:sz w:val="24"/>
          <w:szCs w:val="24"/>
        </w:rPr>
        <w:t xml:space="preserve"> en relation avec la présence de métabolites de la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dans les tissus de l'</w:t>
      </w:r>
      <w:r w:rsidR="00070084" w:rsidRPr="00082753">
        <w:rPr>
          <w:rFonts w:asciiTheme="minorHAnsi" w:hAnsiTheme="minorHAnsi"/>
          <w:sz w:val="24"/>
          <w:szCs w:val="24"/>
        </w:rPr>
        <w:t>œil</w:t>
      </w:r>
      <w:r w:rsidRPr="00082753">
        <w:rPr>
          <w:rFonts w:asciiTheme="minorHAnsi" w:hAnsiTheme="minorHAnsi"/>
          <w:sz w:val="24"/>
          <w:szCs w:val="24"/>
        </w:rPr>
        <w:t xml:space="preserve"> et ont disparu avec l'arrêt de l'administration de la substance. Elles n'étaient pas associées à des modifications histologiques.</w:t>
      </w:r>
    </w:p>
    <w:p w:rsidR="007F23E6" w:rsidRPr="00082753" w:rsidRDefault="007F23E6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Une étude orale d’un</w:t>
      </w:r>
      <w:r w:rsidR="007F23E6" w:rsidRPr="00082753">
        <w:rPr>
          <w:rFonts w:asciiTheme="minorHAnsi" w:hAnsiTheme="minorHAnsi"/>
          <w:sz w:val="24"/>
          <w:szCs w:val="24"/>
        </w:rPr>
        <w:t>e durée de 8 semaines conduite chez</w:t>
      </w:r>
      <w:r w:rsidRPr="00082753">
        <w:rPr>
          <w:rFonts w:asciiTheme="minorHAnsi" w:hAnsiTheme="minorHAnsi"/>
          <w:sz w:val="24"/>
          <w:szCs w:val="24"/>
        </w:rPr>
        <w:t xml:space="preserve"> des rats juvéniles a déterminé une dose sans effet</w:t>
      </w:r>
      <w:r w:rsidR="007F23E6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toxique (non </w:t>
      </w:r>
      <w:proofErr w:type="spellStart"/>
      <w:r w:rsidRPr="00082753">
        <w:rPr>
          <w:rFonts w:asciiTheme="minorHAnsi" w:hAnsiTheme="minorHAnsi"/>
          <w:sz w:val="24"/>
          <w:szCs w:val="24"/>
        </w:rPr>
        <w:t>toxic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effect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82753">
        <w:rPr>
          <w:rFonts w:asciiTheme="minorHAnsi" w:hAnsiTheme="minorHAnsi"/>
          <w:sz w:val="24"/>
          <w:szCs w:val="24"/>
        </w:rPr>
        <w:t>level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ou NTEL) de près de 100 mg/kg/jour, la seule constatation étant une légère</w:t>
      </w:r>
      <w:r w:rsidR="007F23E6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augmentation du poids du foie, tandis que chez des chiens adultes recevant ≥ 100 mg/kg/jour (valeurs d’</w:t>
      </w:r>
      <w:r w:rsidR="007F23E6" w:rsidRPr="00082753">
        <w:rPr>
          <w:rFonts w:asciiTheme="minorHAnsi" w:hAnsiTheme="minorHAnsi"/>
          <w:sz w:val="24"/>
          <w:szCs w:val="24"/>
        </w:rPr>
        <w:t xml:space="preserve">ASC </w:t>
      </w:r>
      <w:r w:rsidRPr="00082753">
        <w:rPr>
          <w:rFonts w:asciiTheme="minorHAnsi" w:hAnsiTheme="minorHAnsi"/>
          <w:sz w:val="24"/>
          <w:szCs w:val="24"/>
        </w:rPr>
        <w:t>égales à environ 13x (m) et 6x (f) celles observées chez les enfants), on a observé des signes de perturbations</w:t>
      </w:r>
      <w:r w:rsidR="007F23E6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au niveau du système nerveux central, incluant quelques épisodes de convulsions chez des animaux</w:t>
      </w:r>
      <w:r w:rsidR="007F23E6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>individuels. On a observé les mêmes résultats en cas d’exposition systémique élevée suivant une</w:t>
      </w:r>
      <w:r w:rsidR="007F23E6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administration intraveineuse de </w:t>
      </w:r>
      <w:proofErr w:type="spellStart"/>
      <w:r w:rsidRPr="00082753">
        <w:rPr>
          <w:rFonts w:asciiTheme="minorHAnsi" w:hAnsiTheme="minorHAnsi"/>
          <w:sz w:val="24"/>
          <w:szCs w:val="24"/>
        </w:rPr>
        <w:t>terbinafine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à des rats ou des singes adultes.</w:t>
      </w:r>
    </w:p>
    <w:p w:rsidR="00041BBF" w:rsidRPr="00082753" w:rsidRDefault="00041BBF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1CF0" w:rsidRPr="00082753" w:rsidRDefault="00281CF0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 xml:space="preserve">Une série standard de tests de </w:t>
      </w:r>
      <w:proofErr w:type="spellStart"/>
      <w:r w:rsidRPr="00082753">
        <w:rPr>
          <w:rFonts w:asciiTheme="minorHAnsi" w:hAnsiTheme="minorHAnsi"/>
          <w:sz w:val="24"/>
          <w:szCs w:val="24"/>
        </w:rPr>
        <w:t>génotoxicité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in vitro et in vivo n’a pas révélé de signes de </w:t>
      </w:r>
      <w:proofErr w:type="spellStart"/>
      <w:r w:rsidRPr="00082753">
        <w:rPr>
          <w:rFonts w:asciiTheme="minorHAnsi" w:hAnsiTheme="minorHAnsi"/>
          <w:sz w:val="24"/>
          <w:szCs w:val="24"/>
        </w:rPr>
        <w:t>mutagénicité</w:t>
      </w:r>
      <w:proofErr w:type="spellEnd"/>
      <w:r w:rsidRPr="00082753">
        <w:rPr>
          <w:rFonts w:asciiTheme="minorHAnsi" w:hAnsiTheme="minorHAnsi"/>
          <w:sz w:val="24"/>
          <w:szCs w:val="24"/>
        </w:rPr>
        <w:t xml:space="preserve"> ni de</w:t>
      </w:r>
      <w:r w:rsidR="007F23E6" w:rsidRPr="00082753">
        <w:rPr>
          <w:rFonts w:asciiTheme="minorHAnsi" w:hAnsiTheme="minorHAnsi"/>
          <w:sz w:val="24"/>
          <w:szCs w:val="24"/>
        </w:rPr>
        <w:t xml:space="preserve"> </w:t>
      </w:r>
      <w:r w:rsidRPr="00082753">
        <w:rPr>
          <w:rFonts w:asciiTheme="minorHAnsi" w:hAnsiTheme="minorHAnsi"/>
          <w:sz w:val="24"/>
          <w:szCs w:val="24"/>
        </w:rPr>
        <w:t xml:space="preserve">potentiel </w:t>
      </w:r>
      <w:proofErr w:type="spellStart"/>
      <w:r w:rsidRPr="00082753">
        <w:rPr>
          <w:rFonts w:asciiTheme="minorHAnsi" w:hAnsiTheme="minorHAnsi"/>
          <w:sz w:val="24"/>
          <w:szCs w:val="24"/>
        </w:rPr>
        <w:t>clastogène</w:t>
      </w:r>
      <w:proofErr w:type="spellEnd"/>
      <w:r w:rsidRPr="00082753">
        <w:rPr>
          <w:rFonts w:asciiTheme="minorHAnsi" w:hAnsiTheme="minorHAnsi"/>
          <w:sz w:val="24"/>
          <w:szCs w:val="24"/>
        </w:rPr>
        <w:t>.</w:t>
      </w:r>
    </w:p>
    <w:p w:rsidR="007F23E6" w:rsidRPr="00082753" w:rsidRDefault="007F23E6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7F23E6" w:rsidP="00281CF0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082753">
        <w:rPr>
          <w:rFonts w:asciiTheme="minorHAnsi" w:hAnsiTheme="minorHAnsi"/>
          <w:sz w:val="24"/>
          <w:szCs w:val="24"/>
        </w:rPr>
        <w:t>On n’a pas observé d’</w:t>
      </w:r>
      <w:r w:rsidR="00281CF0" w:rsidRPr="00082753">
        <w:rPr>
          <w:rFonts w:asciiTheme="minorHAnsi" w:hAnsiTheme="minorHAnsi"/>
          <w:sz w:val="24"/>
          <w:szCs w:val="24"/>
        </w:rPr>
        <w:t>effet</w:t>
      </w:r>
      <w:r w:rsidRPr="00082753">
        <w:rPr>
          <w:rFonts w:asciiTheme="minorHAnsi" w:hAnsiTheme="minorHAnsi"/>
          <w:sz w:val="24"/>
          <w:szCs w:val="24"/>
        </w:rPr>
        <w:t>s</w:t>
      </w:r>
      <w:r w:rsidR="00281CF0" w:rsidRPr="00082753">
        <w:rPr>
          <w:rFonts w:asciiTheme="minorHAnsi" w:hAnsiTheme="minorHAnsi"/>
          <w:sz w:val="24"/>
          <w:szCs w:val="24"/>
        </w:rPr>
        <w:t xml:space="preserve"> indésirable</w:t>
      </w:r>
      <w:r w:rsidRPr="00082753">
        <w:rPr>
          <w:rFonts w:asciiTheme="minorHAnsi" w:hAnsiTheme="minorHAnsi"/>
          <w:sz w:val="24"/>
          <w:szCs w:val="24"/>
        </w:rPr>
        <w:t>s</w:t>
      </w:r>
      <w:r w:rsidR="00281CF0" w:rsidRPr="00082753">
        <w:rPr>
          <w:rFonts w:asciiTheme="minorHAnsi" w:hAnsiTheme="minorHAnsi"/>
          <w:sz w:val="24"/>
          <w:szCs w:val="24"/>
        </w:rPr>
        <w:t xml:space="preserve"> en rapport avec la fertilité ou d'autres paramètres de la fonction reproductive lors d'études chez le rat ou le lapin.</w:t>
      </w: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082753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</w:t>
      </w:r>
      <w:r w:rsidRPr="00696AA5">
        <w:rPr>
          <w:rFonts w:asciiTheme="minorHAnsi" w:hAnsiTheme="minorHAnsi"/>
          <w:b/>
          <w:sz w:val="24"/>
          <w:szCs w:val="24"/>
        </w:rPr>
        <w:tab/>
        <w:t>DONN</w:t>
      </w:r>
      <w:r w:rsidR="00461068" w:rsidRPr="00696AA5">
        <w:rPr>
          <w:rFonts w:asciiTheme="minorHAnsi" w:hAnsiTheme="minorHAnsi"/>
          <w:b/>
          <w:sz w:val="24"/>
          <w:szCs w:val="24"/>
        </w:rPr>
        <w:t>É</w:t>
      </w:r>
      <w:r w:rsidRPr="00696AA5">
        <w:rPr>
          <w:rFonts w:asciiTheme="minorHAnsi" w:hAnsiTheme="minorHAnsi"/>
          <w:b/>
          <w:sz w:val="24"/>
          <w:szCs w:val="24"/>
        </w:rPr>
        <w:t>ES PHARMACEUTIQUES</w:t>
      </w:r>
    </w:p>
    <w:p w:rsidR="007A2718" w:rsidRPr="00696AA5" w:rsidRDefault="007A2718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282B8D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6.1</w:t>
      </w:r>
      <w:r w:rsidRPr="00696AA5">
        <w:rPr>
          <w:rFonts w:asciiTheme="minorHAnsi" w:hAnsiTheme="minorHAnsi"/>
          <w:b/>
          <w:sz w:val="24"/>
          <w:szCs w:val="24"/>
        </w:rPr>
        <w:tab/>
        <w:t>Liste des excipients</w:t>
      </w:r>
    </w:p>
    <w:p w:rsidR="007F23E6" w:rsidRPr="00696AA5" w:rsidRDefault="007F23E6" w:rsidP="007F23E6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696AA5">
        <w:rPr>
          <w:rFonts w:asciiTheme="minorHAnsi" w:hAnsiTheme="minorHAnsi"/>
          <w:sz w:val="24"/>
          <w:szCs w:val="24"/>
        </w:rPr>
        <w:t>Hypromellose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696AA5">
        <w:rPr>
          <w:rFonts w:asciiTheme="minorHAnsi" w:hAnsiTheme="minorHAnsi"/>
          <w:sz w:val="24"/>
          <w:szCs w:val="24"/>
        </w:rPr>
        <w:t>Methocel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E15-LV),</w:t>
      </w:r>
    </w:p>
    <w:p w:rsidR="007F23E6" w:rsidRPr="00696AA5" w:rsidRDefault="007F23E6" w:rsidP="00D470F6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696AA5">
        <w:rPr>
          <w:rFonts w:asciiTheme="minorHAnsi" w:hAnsiTheme="minorHAnsi"/>
          <w:sz w:val="24"/>
          <w:szCs w:val="24"/>
        </w:rPr>
        <w:t>Croscarmellose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de sodium,</w:t>
      </w:r>
    </w:p>
    <w:p w:rsidR="007F23E6" w:rsidRPr="00696AA5" w:rsidRDefault="007F23E6" w:rsidP="007F23E6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 xml:space="preserve">Cellulose microcristalline PH 101, </w:t>
      </w:r>
    </w:p>
    <w:p w:rsidR="007F23E6" w:rsidRPr="00696AA5" w:rsidRDefault="007F23E6" w:rsidP="00B01311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Cellulose microcristalline PH 102,</w:t>
      </w:r>
    </w:p>
    <w:p w:rsidR="007F23E6" w:rsidRPr="00696AA5" w:rsidRDefault="007F23E6" w:rsidP="007F23E6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Dioxyde de silice colloïdale (</w:t>
      </w:r>
      <w:proofErr w:type="spellStart"/>
      <w:r w:rsidRPr="00696AA5">
        <w:rPr>
          <w:rFonts w:asciiTheme="minorHAnsi" w:hAnsiTheme="minorHAnsi"/>
          <w:sz w:val="24"/>
          <w:szCs w:val="24"/>
        </w:rPr>
        <w:t>Aerosil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200),</w:t>
      </w:r>
    </w:p>
    <w:p w:rsidR="007F23E6" w:rsidRPr="00696AA5" w:rsidRDefault="007F23E6" w:rsidP="007F23E6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Sté</w:t>
      </w:r>
      <w:r w:rsidR="00041BBF" w:rsidRPr="00696AA5">
        <w:rPr>
          <w:rFonts w:asciiTheme="minorHAnsi" w:hAnsiTheme="minorHAnsi"/>
          <w:sz w:val="24"/>
          <w:szCs w:val="24"/>
        </w:rPr>
        <w:t>ara</w:t>
      </w:r>
      <w:r w:rsidRPr="00696AA5">
        <w:rPr>
          <w:rFonts w:asciiTheme="minorHAnsi" w:hAnsiTheme="minorHAnsi"/>
          <w:sz w:val="24"/>
          <w:szCs w:val="24"/>
        </w:rPr>
        <w:t xml:space="preserve">te de </w:t>
      </w:r>
      <w:proofErr w:type="spellStart"/>
      <w:r w:rsidRPr="00696AA5">
        <w:rPr>
          <w:rFonts w:asciiTheme="minorHAnsi" w:hAnsiTheme="minorHAnsi"/>
          <w:sz w:val="24"/>
          <w:szCs w:val="24"/>
        </w:rPr>
        <w:t>Magnesium</w:t>
      </w:r>
      <w:proofErr w:type="spellEnd"/>
      <w:r w:rsidRPr="00696AA5">
        <w:rPr>
          <w:rFonts w:asciiTheme="minorHAnsi" w:hAnsiTheme="minorHAnsi"/>
          <w:sz w:val="24"/>
          <w:szCs w:val="24"/>
        </w:rPr>
        <w:t>,</w:t>
      </w:r>
    </w:p>
    <w:p w:rsidR="007A2718" w:rsidRPr="00696AA5" w:rsidRDefault="007F23E6" w:rsidP="007F23E6">
      <w:pPr>
        <w:pStyle w:val="ListParagraph"/>
        <w:numPr>
          <w:ilvl w:val="0"/>
          <w:numId w:val="16"/>
        </w:num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Eau purifiée.</w:t>
      </w:r>
    </w:p>
    <w:p w:rsidR="007F23E6" w:rsidRPr="00696AA5" w:rsidRDefault="007F23E6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282B8D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6.2</w:t>
      </w:r>
      <w:r w:rsidRPr="00696AA5">
        <w:rPr>
          <w:rFonts w:asciiTheme="minorHAnsi" w:hAnsiTheme="minorHAnsi"/>
          <w:b/>
          <w:sz w:val="24"/>
          <w:szCs w:val="24"/>
        </w:rPr>
        <w:tab/>
        <w:t>Incompatibilités</w:t>
      </w:r>
    </w:p>
    <w:p w:rsidR="007F23E6" w:rsidRPr="00696AA5" w:rsidRDefault="007F23E6" w:rsidP="007F23E6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Sans objet.</w:t>
      </w:r>
    </w:p>
    <w:p w:rsidR="00282B8D" w:rsidRPr="00696AA5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461068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6.3</w:t>
      </w:r>
      <w:r w:rsidRPr="00696AA5">
        <w:rPr>
          <w:rFonts w:asciiTheme="minorHAnsi" w:hAnsiTheme="minorHAnsi"/>
          <w:b/>
          <w:sz w:val="24"/>
          <w:szCs w:val="24"/>
        </w:rPr>
        <w:tab/>
      </w:r>
      <w:r w:rsidR="00461068" w:rsidRPr="00696AA5">
        <w:rPr>
          <w:rFonts w:asciiTheme="minorHAnsi" w:hAnsiTheme="minorHAnsi"/>
          <w:b/>
          <w:sz w:val="24"/>
          <w:szCs w:val="24"/>
        </w:rPr>
        <w:t xml:space="preserve">Stabilité </w:t>
      </w:r>
    </w:p>
    <w:p w:rsidR="00F6225E" w:rsidRPr="00696AA5" w:rsidRDefault="007F23E6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24 mois.</w:t>
      </w:r>
    </w:p>
    <w:p w:rsidR="007F23E6" w:rsidRPr="00696AA5" w:rsidRDefault="007F23E6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u w:val="single"/>
        </w:rPr>
      </w:pPr>
    </w:p>
    <w:p w:rsidR="006F693C" w:rsidRPr="00696AA5" w:rsidRDefault="006F693C" w:rsidP="006F693C">
      <w:pPr>
        <w:suppressAutoHyphens/>
        <w:ind w:left="567" w:hanging="567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6.4</w:t>
      </w:r>
      <w:r w:rsidRPr="00696AA5">
        <w:rPr>
          <w:rFonts w:asciiTheme="minorHAnsi" w:hAnsiTheme="minorHAnsi"/>
          <w:b/>
          <w:sz w:val="24"/>
          <w:szCs w:val="24"/>
        </w:rPr>
        <w:tab/>
        <w:t>Précautions particulières de conservation</w:t>
      </w:r>
    </w:p>
    <w:p w:rsidR="00F6225E" w:rsidRPr="00696AA5" w:rsidRDefault="007F23E6" w:rsidP="007F23E6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lastRenderedPageBreak/>
        <w:t xml:space="preserve">A conserver à une température ne dépassant pas 30° C. A conserver à l’abri de la lumière, dans l’emballage extérieur d’origine. </w:t>
      </w:r>
    </w:p>
    <w:p w:rsidR="00282B8D" w:rsidRPr="00696AA5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</w:p>
    <w:p w:rsidR="00282B8D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6.5</w:t>
      </w:r>
      <w:r w:rsidRPr="00696AA5">
        <w:rPr>
          <w:rFonts w:asciiTheme="minorHAnsi" w:hAnsiTheme="minorHAnsi"/>
          <w:b/>
          <w:sz w:val="24"/>
          <w:szCs w:val="24"/>
        </w:rPr>
        <w:tab/>
        <w:t xml:space="preserve">Nature </w:t>
      </w:r>
      <w:r w:rsidR="00F6225E" w:rsidRPr="00696AA5">
        <w:rPr>
          <w:rFonts w:asciiTheme="minorHAnsi" w:hAnsiTheme="minorHAnsi"/>
          <w:b/>
          <w:sz w:val="24"/>
          <w:szCs w:val="24"/>
        </w:rPr>
        <w:t xml:space="preserve">du conditionnement primaire </w:t>
      </w:r>
      <w:r w:rsidRPr="00696AA5">
        <w:rPr>
          <w:rFonts w:asciiTheme="minorHAnsi" w:hAnsiTheme="minorHAnsi"/>
          <w:b/>
          <w:sz w:val="24"/>
          <w:szCs w:val="24"/>
        </w:rPr>
        <w:t>et contenu de l’emballage extérieur</w:t>
      </w:r>
    </w:p>
    <w:p w:rsidR="00041BBF" w:rsidRPr="00696AA5" w:rsidRDefault="007D5132" w:rsidP="007D5132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 xml:space="preserve">Les comprimés sont conditionnés dans un blister </w:t>
      </w:r>
      <w:r w:rsidR="007E43B4" w:rsidRPr="00696AA5">
        <w:rPr>
          <w:rFonts w:asciiTheme="minorHAnsi" w:hAnsiTheme="minorHAnsi"/>
          <w:sz w:val="24"/>
          <w:szCs w:val="24"/>
        </w:rPr>
        <w:t>avec</w:t>
      </w:r>
      <w:r w:rsidRPr="00696AA5">
        <w:rPr>
          <w:rFonts w:asciiTheme="minorHAnsi" w:hAnsiTheme="minorHAnsi"/>
          <w:sz w:val="24"/>
          <w:szCs w:val="24"/>
        </w:rPr>
        <w:t xml:space="preserve"> 14 comprimés. </w:t>
      </w:r>
    </w:p>
    <w:p w:rsidR="007D5132" w:rsidRPr="00696AA5" w:rsidRDefault="007D5132" w:rsidP="007D5132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Les blisters sont emballés dans une boîte en carton à raison d’un blister par boîte.</w:t>
      </w:r>
    </w:p>
    <w:p w:rsidR="007D5132" w:rsidRPr="00696AA5" w:rsidRDefault="007D5132" w:rsidP="007D5132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 xml:space="preserve"> </w:t>
      </w:r>
    </w:p>
    <w:p w:rsidR="00282B8D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6.6</w:t>
      </w:r>
      <w:r w:rsidRPr="00696AA5">
        <w:rPr>
          <w:rFonts w:asciiTheme="minorHAnsi" w:hAnsiTheme="minorHAnsi"/>
          <w:b/>
          <w:sz w:val="24"/>
          <w:szCs w:val="24"/>
        </w:rPr>
        <w:tab/>
      </w:r>
      <w:r w:rsidRPr="00696AA5">
        <w:rPr>
          <w:rFonts w:asciiTheme="minorHAnsi" w:hAnsiTheme="minorHAnsi"/>
          <w:b/>
          <w:noProof/>
          <w:sz w:val="24"/>
          <w:szCs w:val="24"/>
        </w:rPr>
        <w:t xml:space="preserve"> Précautions particulières d’élimination </w:t>
      </w:r>
      <w:r w:rsidR="00F6225E" w:rsidRPr="00696AA5">
        <w:rPr>
          <w:rFonts w:asciiTheme="minorHAnsi" w:hAnsiTheme="minorHAnsi"/>
          <w:b/>
          <w:sz w:val="24"/>
          <w:szCs w:val="24"/>
        </w:rPr>
        <w:t>et manipulation</w:t>
      </w:r>
    </w:p>
    <w:p w:rsidR="007D5132" w:rsidRPr="00696AA5" w:rsidRDefault="007D5132" w:rsidP="007D5132">
      <w:pPr>
        <w:spacing w:line="276" w:lineRule="auto"/>
        <w:ind w:left="567"/>
        <w:jc w:val="both"/>
        <w:rPr>
          <w:rFonts w:asciiTheme="minorHAnsi" w:hAnsiTheme="minorHAnsi"/>
          <w:iCs/>
          <w:sz w:val="24"/>
          <w:szCs w:val="24"/>
        </w:rPr>
      </w:pPr>
      <w:r w:rsidRPr="00696AA5">
        <w:rPr>
          <w:rFonts w:asciiTheme="minorHAnsi" w:hAnsiTheme="minorHAnsi"/>
          <w:iCs/>
          <w:sz w:val="24"/>
          <w:szCs w:val="24"/>
        </w:rPr>
        <w:t>Pas d’exigences particulières.</w:t>
      </w:r>
    </w:p>
    <w:p w:rsidR="00282B8D" w:rsidRPr="00696AA5" w:rsidRDefault="00282B8D" w:rsidP="002E5678">
      <w:pPr>
        <w:suppressAutoHyphens/>
        <w:spacing w:line="276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:rsidR="00F6225E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7.</w:t>
      </w:r>
      <w:r w:rsidRPr="00696AA5">
        <w:rPr>
          <w:rFonts w:asciiTheme="minorHAnsi" w:hAnsiTheme="minorHAnsi"/>
          <w:b/>
          <w:sz w:val="24"/>
          <w:szCs w:val="24"/>
        </w:rPr>
        <w:tab/>
      </w:r>
      <w:r w:rsidR="00F6225E" w:rsidRPr="00696AA5">
        <w:rPr>
          <w:rFonts w:asciiTheme="minorHAnsi" w:hAnsiTheme="minorHAnsi"/>
          <w:b/>
          <w:sz w:val="24"/>
          <w:szCs w:val="24"/>
        </w:rPr>
        <w:t>INSCRIPTION À UNE LISTE DES SUBSTANCES VÉNÉNEUSES</w:t>
      </w:r>
    </w:p>
    <w:p w:rsidR="00EF2DE6" w:rsidRPr="00696AA5" w:rsidRDefault="00EF2DE6" w:rsidP="00041BBF">
      <w:pPr>
        <w:suppressAutoHyphens/>
        <w:spacing w:line="276" w:lineRule="auto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Liste II.</w:t>
      </w:r>
    </w:p>
    <w:p w:rsidR="00041BBF" w:rsidRPr="00696AA5" w:rsidRDefault="00EF2DE6" w:rsidP="00041BBF">
      <w:pPr>
        <w:suppressAutoHyphens/>
        <w:spacing w:line="276" w:lineRule="auto"/>
        <w:ind w:left="1134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>Uniquement sur ordonnance</w:t>
      </w:r>
      <w:r w:rsidRPr="00696AA5">
        <w:rPr>
          <w:rFonts w:asciiTheme="minorHAnsi" w:hAnsiTheme="minorHAnsi"/>
          <w:b/>
          <w:sz w:val="24"/>
          <w:szCs w:val="24"/>
        </w:rPr>
        <w:t>.</w:t>
      </w:r>
    </w:p>
    <w:p w:rsidR="00F6225E" w:rsidRPr="00696AA5" w:rsidRDefault="00F6225E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</w:p>
    <w:p w:rsidR="00F6225E" w:rsidRPr="00696AA5" w:rsidRDefault="00F6225E" w:rsidP="002E5678">
      <w:pPr>
        <w:pStyle w:val="ListParagraph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FABRICANT</w:t>
      </w:r>
    </w:p>
    <w:p w:rsidR="00F6225E" w:rsidRPr="00696AA5" w:rsidRDefault="007D5132" w:rsidP="007D5132">
      <w:pPr>
        <w:pStyle w:val="ListParagraph"/>
        <w:suppressAutoHyphens/>
        <w:spacing w:line="276" w:lineRule="auto"/>
        <w:ind w:hanging="153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sz w:val="24"/>
          <w:szCs w:val="24"/>
        </w:rPr>
        <w:t xml:space="preserve">Nobel </w:t>
      </w:r>
      <w:proofErr w:type="spellStart"/>
      <w:r w:rsidRPr="00696AA5">
        <w:rPr>
          <w:rFonts w:asciiTheme="minorHAnsi" w:hAnsiTheme="minorHAnsi"/>
          <w:sz w:val="24"/>
          <w:szCs w:val="24"/>
        </w:rPr>
        <w:t>İlaç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96AA5">
        <w:rPr>
          <w:rFonts w:asciiTheme="minorHAnsi" w:hAnsiTheme="minorHAnsi"/>
          <w:sz w:val="24"/>
          <w:szCs w:val="24"/>
        </w:rPr>
        <w:t>Sanayii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96AA5">
        <w:rPr>
          <w:rFonts w:asciiTheme="minorHAnsi" w:hAnsiTheme="minorHAnsi"/>
          <w:sz w:val="24"/>
          <w:szCs w:val="24"/>
        </w:rPr>
        <w:t>ve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96AA5">
        <w:rPr>
          <w:rFonts w:asciiTheme="minorHAnsi" w:hAnsiTheme="minorHAnsi"/>
          <w:sz w:val="24"/>
          <w:szCs w:val="24"/>
        </w:rPr>
        <w:t>Ticaret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A.Ş., </w:t>
      </w:r>
      <w:proofErr w:type="spellStart"/>
      <w:r w:rsidRPr="00696AA5">
        <w:rPr>
          <w:rFonts w:asciiTheme="minorHAnsi" w:hAnsiTheme="minorHAnsi"/>
          <w:sz w:val="24"/>
          <w:szCs w:val="24"/>
        </w:rPr>
        <w:t>Sancaklar</w:t>
      </w:r>
      <w:proofErr w:type="spellEnd"/>
      <w:r w:rsidRPr="00696AA5">
        <w:rPr>
          <w:rFonts w:asciiTheme="minorHAnsi" w:hAnsiTheme="minorHAnsi"/>
          <w:sz w:val="24"/>
          <w:szCs w:val="24"/>
        </w:rPr>
        <w:t xml:space="preserve"> 81100 </w:t>
      </w:r>
      <w:proofErr w:type="spellStart"/>
      <w:r w:rsidRPr="00696AA5">
        <w:rPr>
          <w:rFonts w:asciiTheme="minorHAnsi" w:hAnsiTheme="minorHAnsi"/>
          <w:sz w:val="24"/>
          <w:szCs w:val="24"/>
        </w:rPr>
        <w:t>Düzce</w:t>
      </w:r>
      <w:proofErr w:type="spellEnd"/>
      <w:r w:rsidRPr="00696AA5">
        <w:rPr>
          <w:rFonts w:asciiTheme="minorHAnsi" w:hAnsiTheme="minorHAnsi"/>
          <w:sz w:val="24"/>
          <w:szCs w:val="24"/>
        </w:rPr>
        <w:t>, Turquie.</w:t>
      </w:r>
    </w:p>
    <w:p w:rsidR="007D5132" w:rsidRPr="00696AA5" w:rsidRDefault="007D5132" w:rsidP="007D5132">
      <w:pPr>
        <w:pStyle w:val="ListParagraph"/>
        <w:suppressAutoHyphens/>
        <w:spacing w:line="276" w:lineRule="auto"/>
        <w:ind w:hanging="153"/>
        <w:jc w:val="both"/>
        <w:rPr>
          <w:rFonts w:asciiTheme="minorHAnsi" w:hAnsiTheme="minorHAnsi"/>
          <w:sz w:val="24"/>
          <w:szCs w:val="24"/>
        </w:rPr>
      </w:pPr>
    </w:p>
    <w:p w:rsidR="00282B8D" w:rsidRPr="00696AA5" w:rsidRDefault="00282B8D" w:rsidP="002E5678">
      <w:pPr>
        <w:pStyle w:val="ListParagraph"/>
        <w:numPr>
          <w:ilvl w:val="0"/>
          <w:numId w:val="3"/>
        </w:numPr>
        <w:suppressAutoHyphens/>
        <w:spacing w:line="276" w:lineRule="auto"/>
        <w:ind w:left="567" w:hanging="567"/>
        <w:jc w:val="both"/>
        <w:rPr>
          <w:rFonts w:asciiTheme="minorHAnsi" w:hAnsiTheme="minorHAnsi"/>
          <w:b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TITULAIRE DE L’</w:t>
      </w:r>
      <w:r w:rsidR="00F6225E" w:rsidRPr="00696AA5">
        <w:rPr>
          <w:rFonts w:asciiTheme="minorHAnsi" w:hAnsiTheme="minorHAnsi"/>
          <w:b/>
          <w:sz w:val="24"/>
          <w:szCs w:val="24"/>
        </w:rPr>
        <w:t>ENREGISTREMENT</w:t>
      </w:r>
    </w:p>
    <w:p w:rsidR="00282B8D" w:rsidRPr="00696AA5" w:rsidRDefault="00F6225E" w:rsidP="002E5678">
      <w:pPr>
        <w:suppressAutoHyphens/>
        <w:spacing w:line="276" w:lineRule="auto"/>
        <w:ind w:left="567"/>
        <w:jc w:val="both"/>
        <w:rPr>
          <w:rFonts w:asciiTheme="minorHAnsi" w:hAnsiTheme="minorHAnsi"/>
          <w:sz w:val="24"/>
          <w:szCs w:val="24"/>
          <w:lang w:val="de-DE"/>
        </w:rPr>
      </w:pPr>
      <w:r w:rsidRPr="00696AA5">
        <w:rPr>
          <w:rFonts w:asciiTheme="minorHAnsi" w:hAnsiTheme="minorHAnsi"/>
          <w:sz w:val="24"/>
          <w:szCs w:val="24"/>
          <w:lang w:val="de-DE"/>
        </w:rPr>
        <w:t>Dafra Pharma GmbH, Mühlenberg 7, 4052 Bâle, Suisse.</w:t>
      </w:r>
    </w:p>
    <w:p w:rsidR="00282B8D" w:rsidRPr="00696AA5" w:rsidRDefault="00282B8D" w:rsidP="002E5678">
      <w:pPr>
        <w:suppressAutoHyphens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282B8D" w:rsidRPr="00696AA5" w:rsidRDefault="00282B8D" w:rsidP="002E5678">
      <w:pPr>
        <w:suppressAutoHyphens/>
        <w:spacing w:line="276" w:lineRule="auto"/>
        <w:ind w:left="567" w:hanging="567"/>
        <w:jc w:val="both"/>
        <w:rPr>
          <w:rFonts w:asciiTheme="minorHAnsi" w:hAnsiTheme="minorHAnsi"/>
          <w:sz w:val="24"/>
          <w:szCs w:val="24"/>
        </w:rPr>
      </w:pPr>
      <w:r w:rsidRPr="00696AA5">
        <w:rPr>
          <w:rFonts w:asciiTheme="minorHAnsi" w:hAnsiTheme="minorHAnsi"/>
          <w:b/>
          <w:sz w:val="24"/>
          <w:szCs w:val="24"/>
        </w:rPr>
        <w:t>10.</w:t>
      </w:r>
      <w:r w:rsidRPr="00696AA5">
        <w:rPr>
          <w:rFonts w:asciiTheme="minorHAnsi" w:hAnsiTheme="minorHAnsi"/>
          <w:b/>
          <w:sz w:val="24"/>
          <w:szCs w:val="24"/>
        </w:rPr>
        <w:tab/>
        <w:t xml:space="preserve">DATE DE </w:t>
      </w:r>
      <w:r w:rsidR="00F6225E" w:rsidRPr="00696AA5">
        <w:rPr>
          <w:rFonts w:asciiTheme="minorHAnsi" w:hAnsiTheme="minorHAnsi"/>
          <w:b/>
          <w:sz w:val="24"/>
          <w:szCs w:val="24"/>
        </w:rPr>
        <w:t>LA DERNI</w:t>
      </w:r>
      <w:r w:rsidR="00DA3B93" w:rsidRPr="00696AA5">
        <w:rPr>
          <w:rFonts w:asciiTheme="minorHAnsi" w:hAnsiTheme="minorHAnsi"/>
          <w:b/>
          <w:sz w:val="24"/>
          <w:szCs w:val="24"/>
        </w:rPr>
        <w:t>ÈRE RÉVISION</w:t>
      </w:r>
      <w:r w:rsidRPr="00696AA5">
        <w:rPr>
          <w:rFonts w:asciiTheme="minorHAnsi" w:hAnsiTheme="minorHAnsi"/>
          <w:b/>
          <w:sz w:val="24"/>
          <w:szCs w:val="24"/>
        </w:rPr>
        <w:t xml:space="preserve"> DU TEXTE</w:t>
      </w:r>
    </w:p>
    <w:p w:rsidR="00282B8D" w:rsidRPr="00082753" w:rsidRDefault="00B4353F" w:rsidP="002E5678">
      <w:pPr>
        <w:suppressAutoHyphens/>
        <w:spacing w:line="276" w:lineRule="auto"/>
        <w:ind w:firstLine="567"/>
        <w:jc w:val="both"/>
        <w:rPr>
          <w:rFonts w:asciiTheme="minorHAnsi" w:hAnsiTheme="minorHAnsi"/>
          <w:noProof/>
          <w:sz w:val="24"/>
          <w:szCs w:val="24"/>
        </w:rPr>
      </w:pPr>
      <w:r w:rsidRPr="00696AA5">
        <w:rPr>
          <w:rFonts w:asciiTheme="minorHAnsi" w:hAnsiTheme="minorHAnsi"/>
          <w:noProof/>
          <w:sz w:val="24"/>
          <w:szCs w:val="24"/>
        </w:rPr>
        <w:t>Avril 2019</w:t>
      </w:r>
    </w:p>
    <w:sectPr w:rsidR="00282B8D" w:rsidRPr="000827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DF" w:rsidRDefault="005940DF" w:rsidP="007A2718">
      <w:r>
        <w:separator/>
      </w:r>
    </w:p>
  </w:endnote>
  <w:endnote w:type="continuationSeparator" w:id="0">
    <w:p w:rsidR="005940DF" w:rsidRDefault="005940DF" w:rsidP="007A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DF" w:rsidRPr="00620821" w:rsidRDefault="00EB5CC6" w:rsidP="00620821">
    <w:pPr>
      <w:pStyle w:val="Footer"/>
      <w:pBdr>
        <w:top w:val="single" w:sz="4" w:space="1" w:color="auto"/>
      </w:pBdr>
      <w:rPr>
        <w:lang w:val="nl-NL"/>
      </w:rPr>
    </w:pPr>
    <w:r>
      <w:t>Avril 2019 EP</w:t>
    </w:r>
    <w:r w:rsidR="005940DF">
      <w:ptab w:relativeTo="margin" w:alignment="center" w:leader="none"/>
    </w:r>
    <w:r w:rsidR="005940DF">
      <w:ptab w:relativeTo="margin" w:alignment="right" w:leader="none"/>
    </w:r>
    <w:r w:rsidR="005940DF" w:rsidRPr="00620821">
      <w:rPr>
        <w:lang w:val="nl-NL"/>
      </w:rPr>
      <w:t xml:space="preserve">Page </w:t>
    </w:r>
    <w:r w:rsidR="005940DF">
      <w:rPr>
        <w:lang w:val="nl-NL"/>
      </w:rPr>
      <w:t xml:space="preserve"> </w:t>
    </w:r>
    <w:r w:rsidR="005940DF">
      <w:rPr>
        <w:b/>
        <w:bCs/>
      </w:rPr>
      <w:fldChar w:fldCharType="begin"/>
    </w:r>
    <w:r w:rsidR="005940DF" w:rsidRPr="00620821">
      <w:rPr>
        <w:b/>
        <w:bCs/>
        <w:lang w:val="nl-NL"/>
      </w:rPr>
      <w:instrText>PAGE  \* Arabic  \* MERGEFORMAT</w:instrText>
    </w:r>
    <w:r w:rsidR="005940DF">
      <w:rPr>
        <w:b/>
        <w:bCs/>
      </w:rPr>
      <w:fldChar w:fldCharType="separate"/>
    </w:r>
    <w:r w:rsidR="00696AA5">
      <w:rPr>
        <w:b/>
        <w:bCs/>
        <w:noProof/>
        <w:lang w:val="nl-NL"/>
      </w:rPr>
      <w:t>12</w:t>
    </w:r>
    <w:r w:rsidR="005940DF">
      <w:rPr>
        <w:b/>
        <w:bCs/>
      </w:rPr>
      <w:fldChar w:fldCharType="end"/>
    </w:r>
    <w:r w:rsidR="005940DF">
      <w:rPr>
        <w:lang w:val="nl-NL"/>
      </w:rPr>
      <w:t xml:space="preserve"> de </w:t>
    </w:r>
    <w:r w:rsidR="005940DF">
      <w:rPr>
        <w:b/>
        <w:bCs/>
      </w:rPr>
      <w:fldChar w:fldCharType="begin"/>
    </w:r>
    <w:r w:rsidR="005940DF" w:rsidRPr="00620821">
      <w:rPr>
        <w:b/>
        <w:bCs/>
        <w:lang w:val="nl-NL"/>
      </w:rPr>
      <w:instrText>NUMPAGES  \* Arabic  \* MERGEFORMAT</w:instrText>
    </w:r>
    <w:r w:rsidR="005940DF">
      <w:rPr>
        <w:b/>
        <w:bCs/>
      </w:rPr>
      <w:fldChar w:fldCharType="separate"/>
    </w:r>
    <w:r w:rsidR="00696AA5">
      <w:rPr>
        <w:b/>
        <w:bCs/>
        <w:noProof/>
        <w:lang w:val="nl-NL"/>
      </w:rPr>
      <w:t>12</w:t>
    </w:r>
    <w:r w:rsidR="005940D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DF" w:rsidRDefault="005940DF" w:rsidP="007A2718">
      <w:r>
        <w:separator/>
      </w:r>
    </w:p>
  </w:footnote>
  <w:footnote w:type="continuationSeparator" w:id="0">
    <w:p w:rsidR="005940DF" w:rsidRDefault="005940DF" w:rsidP="007A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alias w:val="Titel"/>
      <w:tag w:val="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940DF" w:rsidRDefault="005940DF" w:rsidP="0089349A">
        <w:pPr>
          <w:pStyle w:val="Header"/>
          <w:pBdr>
            <w:bottom w:val="single" w:sz="4" w:space="1" w:color="auto"/>
          </w:pBdr>
          <w:jc w:val="center"/>
          <w:rPr>
            <w:color w:val="7F7F7F" w:themeColor="text1" w:themeTint="80"/>
          </w:rPr>
        </w:pPr>
        <w:proofErr w:type="spellStart"/>
        <w:r w:rsidRPr="0089349A">
          <w:rPr>
            <w:rFonts w:asciiTheme="minorHAnsi" w:hAnsiTheme="minorHAnsi" w:cstheme="minorHAnsi"/>
          </w:rPr>
          <w:t>Dafra</w:t>
        </w:r>
        <w:proofErr w:type="spellEnd"/>
        <w:r w:rsidRPr="0089349A">
          <w:rPr>
            <w:rFonts w:asciiTheme="minorHAnsi" w:hAnsiTheme="minorHAnsi" w:cstheme="minorHAnsi"/>
          </w:rPr>
          <w:t xml:space="preserve"> Pharma</w:t>
        </w:r>
        <w:r>
          <w:rPr>
            <w:rFonts w:asciiTheme="minorHAnsi" w:hAnsiTheme="minorHAnsi" w:cstheme="minorHAnsi"/>
          </w:rPr>
          <w:t xml:space="preserve">                                                   </w:t>
        </w:r>
        <w:r w:rsidRPr="0089349A">
          <w:rPr>
            <w:rFonts w:asciiTheme="minorHAnsi" w:hAnsiTheme="minorHAnsi" w:cstheme="minorHAnsi"/>
          </w:rPr>
          <w:t>RCP</w:t>
        </w:r>
        <w:r>
          <w:rPr>
            <w:rFonts w:asciiTheme="minorHAnsi" w:hAnsiTheme="minorHAnsi" w:cstheme="minorHAnsi"/>
          </w:rPr>
          <w:t xml:space="preserve">                                                </w:t>
        </w:r>
        <w:r w:rsidRPr="0089349A">
          <w:rPr>
            <w:rFonts w:asciiTheme="minorHAnsi" w:hAnsiTheme="minorHAnsi" w:cstheme="minorHAnsi"/>
          </w:rPr>
          <w:t xml:space="preserve"> </w:t>
        </w:r>
        <w:proofErr w:type="spellStart"/>
        <w:r>
          <w:rPr>
            <w:rFonts w:asciiTheme="minorHAnsi" w:hAnsiTheme="minorHAnsi" w:cstheme="minorHAnsi"/>
          </w:rPr>
          <w:t>Terbinol</w:t>
        </w:r>
        <w:proofErr w:type="spellEnd"/>
        <w:r w:rsidRPr="0089349A">
          <w:rPr>
            <w:rFonts w:asciiTheme="minorHAnsi" w:hAnsiTheme="minorHAnsi" w:cstheme="minorHAnsi"/>
          </w:rPr>
          <w:t xml:space="preserve"> 250 mg Comprimé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9E9"/>
    <w:multiLevelType w:val="hybridMultilevel"/>
    <w:tmpl w:val="C26674C0"/>
    <w:lvl w:ilvl="0" w:tplc="52481F9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1A2C88"/>
    <w:multiLevelType w:val="hybridMultilevel"/>
    <w:tmpl w:val="5046F194"/>
    <w:lvl w:ilvl="0" w:tplc="50227C8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051DC"/>
    <w:multiLevelType w:val="hybridMultilevel"/>
    <w:tmpl w:val="7618D0AA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0AE1089"/>
    <w:multiLevelType w:val="hybridMultilevel"/>
    <w:tmpl w:val="FDC073E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1132FF"/>
    <w:multiLevelType w:val="hybridMultilevel"/>
    <w:tmpl w:val="A7B4570E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sz w:val="24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BDD3078"/>
    <w:multiLevelType w:val="hybridMultilevel"/>
    <w:tmpl w:val="5CC0B794"/>
    <w:lvl w:ilvl="0" w:tplc="F0908598">
      <w:start w:val="1"/>
      <w:numFmt w:val="bullet"/>
      <w:lvlText w:val="."/>
      <w:lvlJc w:val="left"/>
      <w:pPr>
        <w:ind w:left="2340" w:hanging="360"/>
      </w:pPr>
      <w:rPr>
        <w:rFonts w:ascii="Courier New" w:hAnsi="Courier New" w:hint="default"/>
        <w:b/>
        <w:i w:val="0"/>
        <w:vertAlign w:val="superscript"/>
      </w:rPr>
    </w:lvl>
    <w:lvl w:ilvl="1" w:tplc="08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03D0184"/>
    <w:multiLevelType w:val="hybridMultilevel"/>
    <w:tmpl w:val="C116E080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40C0783E">
      <w:numFmt w:val="bullet"/>
      <w:lvlText w:val="·"/>
      <w:lvlJc w:val="left"/>
      <w:pPr>
        <w:ind w:left="1647" w:hanging="360"/>
      </w:pPr>
      <w:rPr>
        <w:rFonts w:ascii="Calibri" w:eastAsia="Times New Roman" w:hAnsi="Calibri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CAC739A"/>
    <w:multiLevelType w:val="hybridMultilevel"/>
    <w:tmpl w:val="F1888738"/>
    <w:lvl w:ilvl="0" w:tplc="50227C8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B70503"/>
    <w:multiLevelType w:val="hybridMultilevel"/>
    <w:tmpl w:val="EA568136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B9514CD"/>
    <w:multiLevelType w:val="hybridMultilevel"/>
    <w:tmpl w:val="4D56491C"/>
    <w:lvl w:ilvl="0" w:tplc="50227C80">
      <w:start w:val="1"/>
      <w:numFmt w:val="bullet"/>
      <w:lvlText w:val="-"/>
      <w:lvlJc w:val="left"/>
      <w:pPr>
        <w:ind w:left="1276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3D1760ED"/>
    <w:multiLevelType w:val="hybridMultilevel"/>
    <w:tmpl w:val="7F76415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C00A3A"/>
    <w:multiLevelType w:val="hybridMultilevel"/>
    <w:tmpl w:val="E8D00320"/>
    <w:lvl w:ilvl="0" w:tplc="50227C8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A49391F"/>
    <w:multiLevelType w:val="hybridMultilevel"/>
    <w:tmpl w:val="645EF7AC"/>
    <w:lvl w:ilvl="0" w:tplc="0413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721FF0"/>
    <w:multiLevelType w:val="hybridMultilevel"/>
    <w:tmpl w:val="C81EDC40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458175E"/>
    <w:multiLevelType w:val="hybridMultilevel"/>
    <w:tmpl w:val="4724A02C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sz w:val="24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8B460D5"/>
    <w:multiLevelType w:val="hybridMultilevel"/>
    <w:tmpl w:val="71D8FBAC"/>
    <w:lvl w:ilvl="0" w:tplc="52481F9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8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9F622A0"/>
    <w:multiLevelType w:val="hybridMultilevel"/>
    <w:tmpl w:val="1A4051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12C83"/>
    <w:multiLevelType w:val="hybridMultilevel"/>
    <w:tmpl w:val="1F72C978"/>
    <w:lvl w:ilvl="0" w:tplc="50227C8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  <w:sz w:val="24"/>
      </w:rPr>
    </w:lvl>
    <w:lvl w:ilvl="1" w:tplc="50227C80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1"/>
  </w:num>
  <w:num w:numId="12">
    <w:abstractNumId w:val="17"/>
  </w:num>
  <w:num w:numId="13">
    <w:abstractNumId w:val="15"/>
  </w:num>
  <w:num w:numId="14">
    <w:abstractNumId w:val="7"/>
  </w:num>
  <w:num w:numId="15">
    <w:abstractNumId w:val="9"/>
  </w:num>
  <w:num w:numId="16">
    <w:abstractNumId w:val="1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79"/>
    <w:rsid w:val="00041BBF"/>
    <w:rsid w:val="000528D6"/>
    <w:rsid w:val="00070084"/>
    <w:rsid w:val="000748BF"/>
    <w:rsid w:val="00082753"/>
    <w:rsid w:val="000C3F81"/>
    <w:rsid w:val="00281CF0"/>
    <w:rsid w:val="00282B8D"/>
    <w:rsid w:val="00292C34"/>
    <w:rsid w:val="002D7434"/>
    <w:rsid w:val="002E5678"/>
    <w:rsid w:val="002F1F68"/>
    <w:rsid w:val="00363BAE"/>
    <w:rsid w:val="00373E34"/>
    <w:rsid w:val="0041044A"/>
    <w:rsid w:val="004524AE"/>
    <w:rsid w:val="00454A60"/>
    <w:rsid w:val="00461068"/>
    <w:rsid w:val="004D1013"/>
    <w:rsid w:val="004D2B5D"/>
    <w:rsid w:val="005940DF"/>
    <w:rsid w:val="00620821"/>
    <w:rsid w:val="00634767"/>
    <w:rsid w:val="00660AD1"/>
    <w:rsid w:val="00696AA5"/>
    <w:rsid w:val="006F693C"/>
    <w:rsid w:val="007A2718"/>
    <w:rsid w:val="007C7E56"/>
    <w:rsid w:val="007D5132"/>
    <w:rsid w:val="007E43B4"/>
    <w:rsid w:val="007F23E6"/>
    <w:rsid w:val="00822DD4"/>
    <w:rsid w:val="0089349A"/>
    <w:rsid w:val="008F5558"/>
    <w:rsid w:val="00A2152E"/>
    <w:rsid w:val="00A64EA0"/>
    <w:rsid w:val="00AF6E79"/>
    <w:rsid w:val="00B4353F"/>
    <w:rsid w:val="00B83AFB"/>
    <w:rsid w:val="00BE248A"/>
    <w:rsid w:val="00C37E0A"/>
    <w:rsid w:val="00C55021"/>
    <w:rsid w:val="00C659D1"/>
    <w:rsid w:val="00CE5CA2"/>
    <w:rsid w:val="00D03643"/>
    <w:rsid w:val="00D03D75"/>
    <w:rsid w:val="00D140E0"/>
    <w:rsid w:val="00DA3B93"/>
    <w:rsid w:val="00E2176E"/>
    <w:rsid w:val="00EB5CC6"/>
    <w:rsid w:val="00ED59DA"/>
    <w:rsid w:val="00EF2DE6"/>
    <w:rsid w:val="00F54680"/>
    <w:rsid w:val="00F6225E"/>
    <w:rsid w:val="00F6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3046B64-04CE-4B0F-BE8E-56F7118F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B8D"/>
    <w:pPr>
      <w:spacing w:after="0" w:line="240" w:lineRule="auto"/>
    </w:pPr>
    <w:rPr>
      <w:rFonts w:ascii="Times New Roman" w:eastAsia="Times New Roman" w:hAnsi="Times New Roman" w:cs="Times New Roman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B8D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B8D"/>
    <w:pPr>
      <w:widowControl w:val="0"/>
      <w:tabs>
        <w:tab w:val="center" w:pos="4153"/>
        <w:tab w:val="right" w:pos="8306"/>
      </w:tabs>
    </w:pPr>
    <w:rPr>
      <w:rFonts w:ascii="Helvetica" w:hAnsi="Helvetica"/>
    </w:rPr>
  </w:style>
  <w:style w:type="character" w:customStyle="1" w:styleId="HeaderChar">
    <w:name w:val="Header Char"/>
    <w:basedOn w:val="DefaultParagraphFont"/>
    <w:link w:val="Header"/>
    <w:uiPriority w:val="99"/>
    <w:rsid w:val="00282B8D"/>
    <w:rPr>
      <w:rFonts w:ascii="Helvetica" w:eastAsia="Times New Roman" w:hAnsi="Helvetica" w:cs="Times New Roman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82B8D"/>
    <w:pPr>
      <w:suppressAutoHyphens/>
      <w:ind w:left="567" w:hanging="567"/>
    </w:pPr>
    <w:rPr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2B8D"/>
    <w:rPr>
      <w:rFonts w:ascii="Times New Roman" w:eastAsia="Times New Roman" w:hAnsi="Times New Roman" w:cs="Times New Roman"/>
      <w:bCs/>
      <w:szCs w:val="20"/>
      <w:lang w:val="fr-FR"/>
    </w:rPr>
  </w:style>
  <w:style w:type="paragraph" w:customStyle="1" w:styleId="EMEAEnBodyText">
    <w:name w:val="EMEA En Body Text"/>
    <w:basedOn w:val="Normal"/>
    <w:uiPriority w:val="99"/>
    <w:rsid w:val="00282B8D"/>
    <w:pPr>
      <w:spacing w:before="120" w:after="120"/>
      <w:jc w:val="both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27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718"/>
    <w:rPr>
      <w:rFonts w:ascii="Times New Roman" w:eastAsia="Times New Roman" w:hAnsi="Times New Roman" w:cs="Times New Roman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F6225E"/>
    <w:pPr>
      <w:ind w:left="720"/>
      <w:contextualSpacing/>
    </w:pPr>
  </w:style>
  <w:style w:type="table" w:styleId="TableGrid">
    <w:name w:val="Table Grid"/>
    <w:basedOn w:val="TableNormal"/>
    <w:uiPriority w:val="39"/>
    <w:rsid w:val="000C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DC31-1EF6-45BE-BF11-63525E82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3280</Words>
  <Characters>18699</Characters>
  <Application>Microsoft Office Word</Application>
  <DocSecurity>0</DocSecurity>
  <Lines>155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Dafra Pharma                                                   RCP                                                 Terbinol 250 mg Comprimé</vt:lpstr>
      <vt:lpstr>Produit</vt:lpstr>
    </vt:vector>
  </TitlesOfParts>
  <Company>Dafra Pharma</Company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Dafra Pharma                                                   RCP                                                 Terbinol 250 mg Comprimé</dc:title>
  <dc:subject>code produit</dc:subject>
  <dc:creator>Jan Natens</dc:creator>
  <cp:keywords/>
  <dc:description/>
  <cp:lastModifiedBy>Etienne Pellegrims</cp:lastModifiedBy>
  <cp:revision>4</cp:revision>
  <dcterms:created xsi:type="dcterms:W3CDTF">2019-04-02T11:18:00Z</dcterms:created>
  <dcterms:modified xsi:type="dcterms:W3CDTF">2019-06-25T13:53:00Z</dcterms:modified>
</cp:coreProperties>
</file>