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8824" w14:textId="77777777" w:rsidR="00BF1DCE" w:rsidRPr="00FF5E52" w:rsidRDefault="00BF1DCE" w:rsidP="00423A98">
      <w:pPr>
        <w:pStyle w:val="Kop1"/>
        <w:numPr>
          <w:ilvl w:val="0"/>
          <w:numId w:val="0"/>
        </w:numPr>
        <w:pBdr>
          <w:top w:val="single" w:sz="4" w:space="1" w:color="auto"/>
          <w:left w:val="single" w:sz="4" w:space="4" w:color="auto"/>
          <w:bottom w:val="single" w:sz="4" w:space="1" w:color="auto"/>
          <w:right w:val="single" w:sz="4" w:space="4" w:color="auto"/>
        </w:pBdr>
        <w:spacing w:before="0" w:after="0" w:line="360" w:lineRule="auto"/>
        <w:jc w:val="center"/>
        <w:rPr>
          <w:rFonts w:asciiTheme="minorHAnsi" w:hAnsiTheme="minorHAnsi"/>
          <w:sz w:val="24"/>
          <w:szCs w:val="24"/>
        </w:rPr>
      </w:pPr>
      <w:r w:rsidRPr="00FF5E52">
        <w:rPr>
          <w:rFonts w:asciiTheme="minorHAnsi" w:hAnsiTheme="minorHAnsi"/>
          <w:sz w:val="24"/>
          <w:szCs w:val="24"/>
        </w:rPr>
        <w:t>Summary of Product Characteristics</w:t>
      </w:r>
    </w:p>
    <w:p w14:paraId="07B879E4" w14:textId="77777777" w:rsidR="004453F0" w:rsidRPr="00FF5E52" w:rsidRDefault="004453F0" w:rsidP="00423A98">
      <w:pPr>
        <w:spacing w:after="0"/>
        <w:rPr>
          <w:rFonts w:asciiTheme="minorHAnsi" w:hAnsiTheme="minorHAnsi"/>
        </w:rPr>
      </w:pPr>
    </w:p>
    <w:p w14:paraId="4B28C4C4" w14:textId="77777777" w:rsidR="00AE30FE" w:rsidRPr="00FF5E52" w:rsidRDefault="00FD40F1" w:rsidP="00423A98">
      <w:pPr>
        <w:spacing w:after="0"/>
        <w:rPr>
          <w:rFonts w:asciiTheme="minorHAnsi" w:hAnsiTheme="minorHAnsi"/>
          <w:b/>
        </w:rPr>
      </w:pPr>
      <w:r w:rsidRPr="00FF5E52">
        <w:rPr>
          <w:rFonts w:asciiTheme="minorHAnsi" w:hAnsiTheme="minorHAnsi"/>
          <w:b/>
        </w:rPr>
        <w:t>1-</w:t>
      </w:r>
      <w:r w:rsidR="00AE30FE" w:rsidRPr="00FF5E52">
        <w:rPr>
          <w:rFonts w:asciiTheme="minorHAnsi" w:hAnsiTheme="minorHAnsi"/>
          <w:b/>
        </w:rPr>
        <w:t>NAME OF THE MEDICINAL PRODUCT (FPP)</w:t>
      </w:r>
    </w:p>
    <w:p w14:paraId="76118218" w14:textId="77777777" w:rsidR="00FD40F1" w:rsidRPr="00205FA1" w:rsidRDefault="00FD40F1" w:rsidP="00423A98">
      <w:pPr>
        <w:pStyle w:val="Lijstalinea"/>
        <w:spacing w:after="0"/>
        <w:ind w:left="0"/>
        <w:rPr>
          <w:rFonts w:asciiTheme="minorHAnsi" w:hAnsiTheme="minorHAnsi"/>
        </w:rPr>
      </w:pPr>
    </w:p>
    <w:p w14:paraId="18B8CC55" w14:textId="3C864FE9" w:rsidR="0011316A" w:rsidRPr="00FF5E52" w:rsidRDefault="00FF5E52" w:rsidP="00FF5E52">
      <w:pPr>
        <w:widowControl w:val="0"/>
        <w:autoSpaceDE w:val="0"/>
        <w:autoSpaceDN w:val="0"/>
        <w:adjustRightInd w:val="0"/>
        <w:spacing w:after="0" w:line="240" w:lineRule="auto"/>
        <w:ind w:left="567"/>
        <w:rPr>
          <w:rFonts w:asciiTheme="minorHAnsi" w:hAnsiTheme="minorHAnsi" w:cstheme="majorBidi"/>
          <w:color w:val="000000"/>
        </w:rPr>
      </w:pPr>
      <w:r w:rsidRPr="00FF5E52">
        <w:rPr>
          <w:rFonts w:asciiTheme="minorHAnsi" w:hAnsiTheme="minorHAnsi" w:cstheme="majorBidi"/>
          <w:color w:val="000000"/>
        </w:rPr>
        <w:t>R</w:t>
      </w:r>
      <w:r w:rsidR="009C0C07">
        <w:rPr>
          <w:rFonts w:asciiTheme="minorHAnsi" w:hAnsiTheme="minorHAnsi" w:cstheme="majorBidi"/>
          <w:color w:val="000000"/>
        </w:rPr>
        <w:t>hinoP</w:t>
      </w:r>
      <w:r w:rsidRPr="00FF5E52">
        <w:rPr>
          <w:rFonts w:asciiTheme="minorHAnsi" w:hAnsiTheme="minorHAnsi" w:cstheme="majorBidi"/>
          <w:color w:val="000000"/>
        </w:rPr>
        <w:t>arol</w:t>
      </w:r>
      <w:r w:rsidR="00890795">
        <w:rPr>
          <w:rFonts w:asciiTheme="minorHAnsi" w:hAnsiTheme="minorHAnsi" w:cstheme="majorBidi"/>
          <w:color w:val="000000"/>
        </w:rPr>
        <w:t>®</w:t>
      </w:r>
    </w:p>
    <w:p w14:paraId="048384DE" w14:textId="77777777" w:rsidR="00FF5E52" w:rsidRPr="00FF5E52" w:rsidRDefault="009C0C07" w:rsidP="00FF5E52">
      <w:pPr>
        <w:widowControl w:val="0"/>
        <w:autoSpaceDE w:val="0"/>
        <w:autoSpaceDN w:val="0"/>
        <w:adjustRightInd w:val="0"/>
        <w:spacing w:after="0" w:line="240" w:lineRule="auto"/>
        <w:ind w:left="567"/>
        <w:rPr>
          <w:rFonts w:asciiTheme="minorHAnsi" w:hAnsiTheme="minorHAnsi" w:cstheme="majorBidi"/>
          <w:b/>
          <w:bCs/>
          <w:i/>
          <w:color w:val="000000"/>
          <w:lang w:val="en-GB"/>
        </w:rPr>
      </w:pPr>
      <w:r w:rsidRPr="00FF5E52">
        <w:rPr>
          <w:rFonts w:asciiTheme="minorHAnsi" w:hAnsiTheme="minorHAnsi" w:cstheme="majorBidi"/>
          <w:i/>
          <w:color w:val="000000"/>
        </w:rPr>
        <w:t xml:space="preserve">Paracetamol </w:t>
      </w:r>
      <w:r>
        <w:rPr>
          <w:rFonts w:asciiTheme="minorHAnsi" w:hAnsiTheme="minorHAnsi" w:cstheme="majorBidi"/>
          <w:i/>
          <w:color w:val="000000"/>
        </w:rPr>
        <w:t>-</w:t>
      </w:r>
      <w:r w:rsidR="00FF5E52" w:rsidRPr="00FF5E52">
        <w:rPr>
          <w:rFonts w:asciiTheme="minorHAnsi" w:hAnsiTheme="minorHAnsi" w:cstheme="majorBidi"/>
          <w:i/>
          <w:color w:val="000000"/>
        </w:rPr>
        <w:t xml:space="preserve">- Phenylephrine hydrochloride - </w:t>
      </w:r>
      <w:r w:rsidRPr="00FF5E52">
        <w:rPr>
          <w:rFonts w:asciiTheme="minorHAnsi" w:hAnsiTheme="minorHAnsi" w:cstheme="majorBidi"/>
          <w:i/>
          <w:color w:val="000000"/>
        </w:rPr>
        <w:t>Chlorphenamine maleate</w:t>
      </w:r>
    </w:p>
    <w:p w14:paraId="448CDDAA" w14:textId="77777777" w:rsidR="000C7AD4" w:rsidRPr="00205FA1" w:rsidRDefault="000C7AD4" w:rsidP="00FF5E52">
      <w:pPr>
        <w:pStyle w:val="Lijstalinea"/>
        <w:spacing w:after="0"/>
        <w:ind w:left="567"/>
        <w:rPr>
          <w:rFonts w:asciiTheme="minorHAnsi" w:hAnsiTheme="minorHAnsi"/>
        </w:rPr>
      </w:pPr>
    </w:p>
    <w:p w14:paraId="6B209241" w14:textId="77777777" w:rsidR="0011316A" w:rsidRPr="00FF5E52" w:rsidRDefault="009B0007" w:rsidP="00FF5E52">
      <w:pPr>
        <w:spacing w:after="0"/>
        <w:ind w:left="426"/>
        <w:rPr>
          <w:rFonts w:asciiTheme="minorHAnsi" w:hAnsiTheme="minorHAnsi"/>
          <w:b/>
        </w:rPr>
      </w:pPr>
      <w:r w:rsidRPr="00FF5E52">
        <w:rPr>
          <w:rFonts w:asciiTheme="minorHAnsi" w:hAnsiTheme="minorHAnsi"/>
          <w:b/>
        </w:rPr>
        <w:t xml:space="preserve">1.1 </w:t>
      </w:r>
      <w:r w:rsidR="00B17706" w:rsidRPr="00FF5E52">
        <w:rPr>
          <w:rFonts w:asciiTheme="minorHAnsi" w:hAnsiTheme="minorHAnsi"/>
          <w:b/>
        </w:rPr>
        <w:t>Strength</w:t>
      </w:r>
    </w:p>
    <w:p w14:paraId="5B97BD19" w14:textId="77777777" w:rsidR="009C0C07" w:rsidRPr="009C0C07" w:rsidRDefault="009C0C07" w:rsidP="009C0C07">
      <w:pPr>
        <w:pStyle w:val="Lijstalinea"/>
        <w:widowControl w:val="0"/>
        <w:numPr>
          <w:ilvl w:val="0"/>
          <w:numId w:val="14"/>
        </w:numPr>
        <w:autoSpaceDE w:val="0"/>
        <w:autoSpaceDN w:val="0"/>
        <w:adjustRightInd w:val="0"/>
        <w:spacing w:after="0" w:line="240" w:lineRule="auto"/>
        <w:rPr>
          <w:rFonts w:asciiTheme="minorHAnsi" w:hAnsiTheme="minorHAnsi" w:cstheme="minorHAnsi"/>
          <w:color w:val="000000"/>
        </w:rPr>
      </w:pPr>
      <w:r w:rsidRPr="009C0C07">
        <w:rPr>
          <w:rFonts w:asciiTheme="minorHAnsi" w:hAnsiTheme="minorHAnsi" w:cstheme="minorHAnsi"/>
          <w:color w:val="000000"/>
        </w:rPr>
        <w:t>Paracetamol 650 mg</w:t>
      </w:r>
    </w:p>
    <w:p w14:paraId="673E6117" w14:textId="77777777" w:rsidR="009C0C07" w:rsidRPr="009C0C07" w:rsidRDefault="009C0C07" w:rsidP="009C0C07">
      <w:pPr>
        <w:pStyle w:val="Lijstalinea"/>
        <w:widowControl w:val="0"/>
        <w:numPr>
          <w:ilvl w:val="0"/>
          <w:numId w:val="14"/>
        </w:numPr>
        <w:autoSpaceDE w:val="0"/>
        <w:autoSpaceDN w:val="0"/>
        <w:adjustRightInd w:val="0"/>
        <w:spacing w:after="0" w:line="240" w:lineRule="auto"/>
        <w:rPr>
          <w:rFonts w:asciiTheme="minorHAnsi" w:hAnsiTheme="minorHAnsi" w:cstheme="minorHAnsi"/>
          <w:color w:val="000000"/>
        </w:rPr>
      </w:pPr>
      <w:r w:rsidRPr="009C0C07">
        <w:rPr>
          <w:rFonts w:asciiTheme="minorHAnsi" w:hAnsiTheme="minorHAnsi" w:cstheme="minorHAnsi"/>
          <w:color w:val="000000"/>
        </w:rPr>
        <w:t>Phenylephrine hydrochloride</w:t>
      </w:r>
      <w:r>
        <w:rPr>
          <w:rFonts w:asciiTheme="minorHAnsi" w:hAnsiTheme="minorHAnsi" w:cstheme="minorHAnsi"/>
          <w:color w:val="000000"/>
        </w:rPr>
        <w:t xml:space="preserve"> </w:t>
      </w:r>
      <w:r w:rsidRPr="009C0C07">
        <w:rPr>
          <w:rFonts w:asciiTheme="minorHAnsi" w:hAnsiTheme="minorHAnsi" w:cstheme="minorHAnsi"/>
          <w:color w:val="000000"/>
        </w:rPr>
        <w:t>10 mg</w:t>
      </w:r>
    </w:p>
    <w:p w14:paraId="5F1F969B" w14:textId="77777777" w:rsidR="00FF5E52" w:rsidRPr="009C0C07" w:rsidRDefault="009C0C07" w:rsidP="00FF5E52">
      <w:pPr>
        <w:pStyle w:val="Lijstalinea"/>
        <w:widowControl w:val="0"/>
        <w:numPr>
          <w:ilvl w:val="0"/>
          <w:numId w:val="14"/>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C</w:t>
      </w:r>
      <w:r w:rsidR="00FF5E52" w:rsidRPr="009C0C07">
        <w:rPr>
          <w:rFonts w:asciiTheme="minorHAnsi" w:hAnsiTheme="minorHAnsi" w:cstheme="minorHAnsi"/>
          <w:color w:val="000000"/>
        </w:rPr>
        <w:t>hlorphenamine maleate</w:t>
      </w:r>
      <w:r>
        <w:rPr>
          <w:rFonts w:asciiTheme="minorHAnsi" w:hAnsiTheme="minorHAnsi" w:cstheme="minorHAnsi"/>
          <w:color w:val="000000"/>
        </w:rPr>
        <w:t xml:space="preserve"> </w:t>
      </w:r>
      <w:r w:rsidR="00FF5E52" w:rsidRPr="009C0C07">
        <w:rPr>
          <w:rFonts w:asciiTheme="minorHAnsi" w:hAnsiTheme="minorHAnsi" w:cstheme="minorHAnsi"/>
          <w:color w:val="000000"/>
        </w:rPr>
        <w:t xml:space="preserve"> 4 mg</w:t>
      </w:r>
    </w:p>
    <w:p w14:paraId="59E19DAF" w14:textId="77777777" w:rsidR="0011316A" w:rsidRPr="00FF5E52" w:rsidRDefault="0011316A" w:rsidP="00423A98">
      <w:pPr>
        <w:pStyle w:val="Lijstalinea"/>
        <w:spacing w:after="0"/>
        <w:ind w:left="0"/>
        <w:rPr>
          <w:rFonts w:asciiTheme="minorHAnsi" w:hAnsiTheme="minorHAnsi"/>
          <w:lang w:val="nl-BE"/>
        </w:rPr>
      </w:pPr>
    </w:p>
    <w:p w14:paraId="3F6B3990" w14:textId="77777777" w:rsidR="0011316A" w:rsidRPr="00FF5E52" w:rsidRDefault="009B0007" w:rsidP="00FF5E52">
      <w:pPr>
        <w:spacing w:after="0"/>
        <w:ind w:left="426"/>
        <w:rPr>
          <w:rFonts w:asciiTheme="minorHAnsi" w:hAnsiTheme="minorHAnsi"/>
          <w:b/>
        </w:rPr>
      </w:pPr>
      <w:r w:rsidRPr="00FF5E52">
        <w:rPr>
          <w:rFonts w:asciiTheme="minorHAnsi" w:hAnsiTheme="minorHAnsi"/>
          <w:b/>
        </w:rPr>
        <w:t xml:space="preserve">1.2 </w:t>
      </w:r>
      <w:r w:rsidR="0011316A" w:rsidRPr="00FF5E52">
        <w:rPr>
          <w:rFonts w:asciiTheme="minorHAnsi" w:hAnsiTheme="minorHAnsi"/>
          <w:b/>
        </w:rPr>
        <w:t>Pharmaceutical form</w:t>
      </w:r>
    </w:p>
    <w:p w14:paraId="0F8C0DE0" w14:textId="77777777" w:rsidR="00726B0C" w:rsidRPr="00F26321" w:rsidRDefault="00726B0C" w:rsidP="00726B0C">
      <w:pPr>
        <w:pStyle w:val="Lijstalinea"/>
        <w:spacing w:after="0"/>
        <w:ind w:left="426"/>
        <w:rPr>
          <w:rFonts w:asciiTheme="minorHAnsi" w:hAnsiTheme="minorHAnsi"/>
          <w:lang w:val="nl-BE"/>
        </w:rPr>
      </w:pPr>
      <w:r w:rsidRPr="00F26321">
        <w:rPr>
          <w:rFonts w:asciiTheme="minorHAnsi" w:hAnsiTheme="minorHAnsi"/>
          <w:lang w:val="nl-BE"/>
        </w:rPr>
        <w:t>Filmcoated tablet.</w:t>
      </w:r>
    </w:p>
    <w:p w14:paraId="0AFD0592" w14:textId="77777777" w:rsidR="0011316A" w:rsidRPr="00FF5E52" w:rsidRDefault="0011316A" w:rsidP="00423A98">
      <w:pPr>
        <w:pStyle w:val="Lijstalinea"/>
        <w:spacing w:after="0"/>
        <w:ind w:left="0"/>
        <w:rPr>
          <w:rFonts w:asciiTheme="minorHAnsi" w:hAnsiTheme="minorHAnsi"/>
          <w:lang w:val="en-GB"/>
        </w:rPr>
      </w:pPr>
    </w:p>
    <w:p w14:paraId="27CB788C" w14:textId="77777777" w:rsidR="00AE30FE" w:rsidRPr="00FF5E52" w:rsidRDefault="009B0007" w:rsidP="00423A98">
      <w:pPr>
        <w:spacing w:after="0"/>
        <w:rPr>
          <w:rFonts w:asciiTheme="minorHAnsi" w:hAnsiTheme="minorHAnsi"/>
          <w:b/>
        </w:rPr>
      </w:pPr>
      <w:r w:rsidRPr="00FF5E52">
        <w:rPr>
          <w:rFonts w:asciiTheme="minorHAnsi" w:hAnsiTheme="minorHAnsi"/>
          <w:b/>
        </w:rPr>
        <w:t xml:space="preserve">2- </w:t>
      </w:r>
      <w:r w:rsidR="00AE30FE" w:rsidRPr="00FF5E52">
        <w:rPr>
          <w:rFonts w:asciiTheme="minorHAnsi" w:hAnsiTheme="minorHAnsi"/>
          <w:b/>
        </w:rPr>
        <w:t>QUALITATIVE AND QUANTITATIVE COMPOSITION</w:t>
      </w:r>
    </w:p>
    <w:p w14:paraId="43DC69C7" w14:textId="77777777" w:rsidR="00FD40F1" w:rsidRPr="00FF5E52" w:rsidRDefault="00FD40F1" w:rsidP="00423A98">
      <w:pPr>
        <w:spacing w:after="0"/>
        <w:rPr>
          <w:rFonts w:asciiTheme="minorHAnsi" w:hAnsiTheme="minorHAnsi"/>
          <w:b/>
        </w:rPr>
      </w:pPr>
    </w:p>
    <w:p w14:paraId="79D2C5BD" w14:textId="77777777" w:rsidR="0011316A" w:rsidRPr="00FF5E52" w:rsidRDefault="009B0007" w:rsidP="00FF5E52">
      <w:pPr>
        <w:spacing w:after="0"/>
        <w:ind w:left="426"/>
        <w:rPr>
          <w:rFonts w:asciiTheme="minorHAnsi" w:hAnsiTheme="minorHAnsi"/>
          <w:b/>
        </w:rPr>
      </w:pPr>
      <w:r w:rsidRPr="00FF5E52">
        <w:rPr>
          <w:rFonts w:asciiTheme="minorHAnsi" w:hAnsiTheme="minorHAnsi"/>
          <w:b/>
        </w:rPr>
        <w:t xml:space="preserve">2.1 </w:t>
      </w:r>
      <w:r w:rsidR="0011316A" w:rsidRPr="00FF5E52">
        <w:rPr>
          <w:rFonts w:asciiTheme="minorHAnsi" w:hAnsiTheme="minorHAnsi"/>
          <w:b/>
        </w:rPr>
        <w:t>Qualitative declaration</w:t>
      </w:r>
    </w:p>
    <w:p w14:paraId="25F8EAAF" w14:textId="77777777" w:rsidR="009C0C07" w:rsidRDefault="009C0C07" w:rsidP="009C0C07">
      <w:pPr>
        <w:spacing w:after="0"/>
        <w:ind w:left="1080"/>
        <w:rPr>
          <w:rFonts w:asciiTheme="minorHAnsi" w:hAnsiTheme="minorHAnsi"/>
        </w:rPr>
      </w:pPr>
      <w:r w:rsidRPr="00FF5E52">
        <w:rPr>
          <w:rFonts w:asciiTheme="minorHAnsi" w:hAnsiTheme="minorHAnsi"/>
        </w:rPr>
        <w:t>For the full list of excipients, see section 6.1</w:t>
      </w:r>
    </w:p>
    <w:p w14:paraId="594FFB56" w14:textId="77777777" w:rsidR="009C0C07" w:rsidRPr="00FF5E52" w:rsidRDefault="009C0C07" w:rsidP="009C0C07">
      <w:pPr>
        <w:spacing w:after="0"/>
        <w:ind w:left="1080"/>
        <w:rPr>
          <w:rFonts w:asciiTheme="minorHAnsi" w:hAnsiTheme="minorHAnsi"/>
          <w:lang w:val="en-GB"/>
        </w:rPr>
      </w:pPr>
    </w:p>
    <w:p w14:paraId="6C6A022F" w14:textId="77777777" w:rsidR="0011316A" w:rsidRPr="00FF5E52" w:rsidRDefault="009B0007" w:rsidP="00FF5E52">
      <w:pPr>
        <w:spacing w:after="0"/>
        <w:ind w:left="426"/>
        <w:rPr>
          <w:rFonts w:asciiTheme="minorHAnsi" w:hAnsiTheme="minorHAnsi"/>
          <w:b/>
        </w:rPr>
      </w:pPr>
      <w:r w:rsidRPr="00FF5E52">
        <w:rPr>
          <w:rFonts w:asciiTheme="minorHAnsi" w:hAnsiTheme="minorHAnsi"/>
          <w:b/>
        </w:rPr>
        <w:t>2.2</w:t>
      </w:r>
      <w:r w:rsidR="00FF5E52">
        <w:rPr>
          <w:rFonts w:asciiTheme="minorHAnsi" w:hAnsiTheme="minorHAnsi"/>
          <w:b/>
        </w:rPr>
        <w:t xml:space="preserve"> </w:t>
      </w:r>
      <w:r w:rsidR="0011316A" w:rsidRPr="00FF5E52">
        <w:rPr>
          <w:rFonts w:asciiTheme="minorHAnsi" w:hAnsiTheme="minorHAnsi"/>
          <w:b/>
        </w:rPr>
        <w:t>Quantitative declaration</w:t>
      </w:r>
    </w:p>
    <w:p w14:paraId="39E2AD26" w14:textId="00C11FC1" w:rsidR="00FF5E52" w:rsidRPr="00FF5E52" w:rsidRDefault="00FF5E52" w:rsidP="00FF5E52">
      <w:pPr>
        <w:spacing w:after="0"/>
        <w:ind w:left="720"/>
        <w:rPr>
          <w:rFonts w:asciiTheme="minorHAnsi" w:hAnsiTheme="minorHAnsi" w:cstheme="majorBidi"/>
          <w:color w:val="000000"/>
        </w:rPr>
      </w:pPr>
      <w:r w:rsidRPr="00FF5E52">
        <w:rPr>
          <w:rFonts w:asciiTheme="minorHAnsi" w:hAnsiTheme="minorHAnsi" w:cstheme="majorBidi"/>
          <w:color w:val="000000"/>
        </w:rPr>
        <w:t xml:space="preserve">Each </w:t>
      </w:r>
      <w:r w:rsidR="00676347">
        <w:rPr>
          <w:rFonts w:asciiTheme="minorHAnsi" w:hAnsiTheme="minorHAnsi" w:cstheme="majorBidi"/>
          <w:color w:val="000000"/>
        </w:rPr>
        <w:t>fil</w:t>
      </w:r>
      <w:r w:rsidR="003E5C55">
        <w:rPr>
          <w:rFonts w:asciiTheme="minorHAnsi" w:hAnsiTheme="minorHAnsi" w:cstheme="majorBidi"/>
          <w:color w:val="000000"/>
        </w:rPr>
        <w:t>m</w:t>
      </w:r>
      <w:r w:rsidR="00676347">
        <w:rPr>
          <w:rFonts w:asciiTheme="minorHAnsi" w:hAnsiTheme="minorHAnsi" w:cstheme="majorBidi"/>
          <w:color w:val="000000"/>
        </w:rPr>
        <w:t xml:space="preserve"> coated </w:t>
      </w:r>
      <w:r w:rsidRPr="00FF5E52">
        <w:rPr>
          <w:rFonts w:asciiTheme="minorHAnsi" w:hAnsiTheme="minorHAnsi" w:cstheme="majorBidi"/>
          <w:color w:val="000000"/>
        </w:rPr>
        <w:t xml:space="preserve">tablet contains </w:t>
      </w:r>
    </w:p>
    <w:p w14:paraId="4819702F" w14:textId="77777777" w:rsidR="009C0C07" w:rsidRPr="00FF5E52" w:rsidRDefault="009C0C07" w:rsidP="009C0C07">
      <w:pPr>
        <w:pStyle w:val="Lijstalinea"/>
        <w:widowControl w:val="0"/>
        <w:numPr>
          <w:ilvl w:val="0"/>
          <w:numId w:val="14"/>
        </w:numPr>
        <w:autoSpaceDE w:val="0"/>
        <w:autoSpaceDN w:val="0"/>
        <w:adjustRightInd w:val="0"/>
        <w:spacing w:after="0" w:line="240" w:lineRule="auto"/>
        <w:rPr>
          <w:rFonts w:asciiTheme="minorHAnsi" w:hAnsiTheme="minorHAnsi" w:cstheme="majorBidi"/>
          <w:b/>
          <w:bCs/>
          <w:color w:val="000000"/>
          <w:lang w:val="en-GB"/>
        </w:rPr>
      </w:pPr>
      <w:r w:rsidRPr="00FF5E52">
        <w:rPr>
          <w:rFonts w:asciiTheme="minorHAnsi" w:hAnsiTheme="minorHAnsi" w:cstheme="majorBidi"/>
          <w:color w:val="000000"/>
        </w:rPr>
        <w:t xml:space="preserve">650 mg paracetamol, </w:t>
      </w:r>
    </w:p>
    <w:p w14:paraId="12F18BB3" w14:textId="77777777" w:rsidR="009C0C07" w:rsidRPr="00FF5E52" w:rsidRDefault="009C0C07" w:rsidP="009C0C07">
      <w:pPr>
        <w:pStyle w:val="Lijstalinea"/>
        <w:widowControl w:val="0"/>
        <w:numPr>
          <w:ilvl w:val="0"/>
          <w:numId w:val="14"/>
        </w:numPr>
        <w:autoSpaceDE w:val="0"/>
        <w:autoSpaceDN w:val="0"/>
        <w:adjustRightInd w:val="0"/>
        <w:spacing w:after="0" w:line="240" w:lineRule="auto"/>
        <w:rPr>
          <w:rFonts w:asciiTheme="minorHAnsi" w:hAnsiTheme="minorHAnsi" w:cstheme="majorBidi"/>
          <w:b/>
          <w:bCs/>
          <w:color w:val="000000"/>
          <w:lang w:val="en-GB"/>
        </w:rPr>
      </w:pPr>
      <w:r w:rsidRPr="00FF5E52">
        <w:rPr>
          <w:rFonts w:asciiTheme="minorHAnsi" w:hAnsiTheme="minorHAnsi" w:cstheme="majorBidi"/>
          <w:color w:val="000000"/>
        </w:rPr>
        <w:t>10 mg phenylephrine hydrochloride</w:t>
      </w:r>
      <w:r w:rsidR="006155AE">
        <w:rPr>
          <w:rFonts w:asciiTheme="minorHAnsi" w:hAnsiTheme="minorHAnsi" w:cstheme="majorBidi"/>
          <w:color w:val="000000"/>
        </w:rPr>
        <w:t xml:space="preserve"> (equivalent 8,21 mg phenylephrine)</w:t>
      </w:r>
      <w:r w:rsidRPr="00FF5E52">
        <w:rPr>
          <w:rFonts w:asciiTheme="minorHAnsi" w:hAnsiTheme="minorHAnsi" w:cstheme="majorBidi"/>
          <w:color w:val="000000"/>
        </w:rPr>
        <w:t xml:space="preserve">. </w:t>
      </w:r>
    </w:p>
    <w:p w14:paraId="57891696" w14:textId="77777777" w:rsidR="00FF5E52" w:rsidRPr="00FF5E52" w:rsidRDefault="00FF5E52" w:rsidP="00FF5E52">
      <w:pPr>
        <w:pStyle w:val="Lijstalinea"/>
        <w:widowControl w:val="0"/>
        <w:numPr>
          <w:ilvl w:val="0"/>
          <w:numId w:val="14"/>
        </w:numPr>
        <w:autoSpaceDE w:val="0"/>
        <w:autoSpaceDN w:val="0"/>
        <w:adjustRightInd w:val="0"/>
        <w:spacing w:after="0" w:line="240" w:lineRule="auto"/>
        <w:rPr>
          <w:rFonts w:asciiTheme="minorHAnsi" w:hAnsiTheme="minorHAnsi" w:cstheme="majorBidi"/>
          <w:b/>
          <w:bCs/>
          <w:color w:val="000000"/>
          <w:lang w:val="en-GB"/>
        </w:rPr>
      </w:pPr>
      <w:r w:rsidRPr="00FF5E52">
        <w:rPr>
          <w:rFonts w:asciiTheme="minorHAnsi" w:hAnsiTheme="minorHAnsi" w:cstheme="majorBidi"/>
          <w:color w:val="000000"/>
        </w:rPr>
        <w:t>4 mg chlorphenamine maleate</w:t>
      </w:r>
      <w:r w:rsidR="006155AE">
        <w:rPr>
          <w:rFonts w:asciiTheme="minorHAnsi" w:hAnsiTheme="minorHAnsi" w:cstheme="majorBidi"/>
          <w:color w:val="000000"/>
        </w:rPr>
        <w:t xml:space="preserve"> (equivalent 2,8</w:t>
      </w:r>
      <w:r w:rsidR="009908B1">
        <w:rPr>
          <w:rFonts w:asciiTheme="minorHAnsi" w:hAnsiTheme="minorHAnsi" w:cstheme="majorBidi"/>
          <w:color w:val="000000"/>
        </w:rPr>
        <w:t>3</w:t>
      </w:r>
      <w:r w:rsidR="006155AE">
        <w:rPr>
          <w:rFonts w:asciiTheme="minorHAnsi" w:hAnsiTheme="minorHAnsi" w:cstheme="majorBidi"/>
          <w:color w:val="000000"/>
        </w:rPr>
        <w:t xml:space="preserve"> mg chlorphenamine)</w:t>
      </w:r>
    </w:p>
    <w:p w14:paraId="41345A0D" w14:textId="77777777" w:rsidR="0011316A" w:rsidRPr="006155AE" w:rsidRDefault="0011316A" w:rsidP="00FF5E52">
      <w:pPr>
        <w:pStyle w:val="Lijstalinea"/>
        <w:spacing w:after="0"/>
        <w:ind w:left="0"/>
        <w:rPr>
          <w:rFonts w:asciiTheme="minorHAnsi" w:hAnsiTheme="minorHAnsi"/>
          <w:lang w:val="en-GB"/>
        </w:rPr>
      </w:pPr>
    </w:p>
    <w:p w14:paraId="106F6B3C" w14:textId="77777777" w:rsidR="002B3DDF" w:rsidRPr="00205FA1" w:rsidRDefault="002B3DDF" w:rsidP="00FF5E52">
      <w:pPr>
        <w:spacing w:after="0"/>
        <w:ind w:left="1080"/>
        <w:rPr>
          <w:rFonts w:asciiTheme="minorHAnsi" w:hAnsiTheme="minorHAnsi"/>
        </w:rPr>
      </w:pPr>
    </w:p>
    <w:p w14:paraId="1D718D5A" w14:textId="77777777" w:rsidR="00AE30FE" w:rsidRPr="00FF5E52" w:rsidRDefault="009B0007" w:rsidP="00423A98">
      <w:pPr>
        <w:spacing w:after="0"/>
        <w:rPr>
          <w:rFonts w:asciiTheme="minorHAnsi" w:hAnsiTheme="minorHAnsi"/>
          <w:b/>
        </w:rPr>
      </w:pPr>
      <w:r w:rsidRPr="00FF5E52">
        <w:rPr>
          <w:rFonts w:asciiTheme="minorHAnsi" w:hAnsiTheme="minorHAnsi"/>
          <w:b/>
        </w:rPr>
        <w:t xml:space="preserve">3- </w:t>
      </w:r>
      <w:r w:rsidR="00AE30FE" w:rsidRPr="00FF5E52">
        <w:rPr>
          <w:rFonts w:asciiTheme="minorHAnsi" w:hAnsiTheme="minorHAnsi"/>
          <w:b/>
        </w:rPr>
        <w:t>PHARMACEUTICAL FORM</w:t>
      </w:r>
    </w:p>
    <w:p w14:paraId="28488426" w14:textId="77777777" w:rsidR="00F26321" w:rsidRDefault="00F26321" w:rsidP="00F26321">
      <w:pPr>
        <w:pStyle w:val="Lijstalinea"/>
        <w:spacing w:after="0"/>
        <w:ind w:left="426"/>
        <w:rPr>
          <w:rFonts w:asciiTheme="minorHAnsi" w:hAnsiTheme="minorHAnsi"/>
          <w:lang w:val="en-GB"/>
        </w:rPr>
      </w:pPr>
    </w:p>
    <w:p w14:paraId="0102601A" w14:textId="77777777" w:rsidR="00F26321" w:rsidRDefault="00F26321" w:rsidP="00F26321">
      <w:pPr>
        <w:pStyle w:val="Lijstalinea"/>
        <w:spacing w:after="0"/>
        <w:ind w:left="426"/>
        <w:rPr>
          <w:rFonts w:asciiTheme="minorHAnsi" w:hAnsiTheme="minorHAnsi"/>
          <w:lang w:val="en-GB"/>
        </w:rPr>
      </w:pPr>
      <w:r w:rsidRPr="00F26321">
        <w:rPr>
          <w:rFonts w:asciiTheme="minorHAnsi" w:hAnsiTheme="minorHAnsi"/>
          <w:lang w:val="en-GB"/>
        </w:rPr>
        <w:t>Filmcoated tablet</w:t>
      </w:r>
    </w:p>
    <w:p w14:paraId="532D850F" w14:textId="687FA06A" w:rsidR="00676347" w:rsidRPr="00676347" w:rsidRDefault="00676347" w:rsidP="00676347">
      <w:pPr>
        <w:ind w:firstLine="426"/>
        <w:rPr>
          <w:rFonts w:asciiTheme="minorHAnsi" w:hAnsiTheme="minorHAnsi" w:cstheme="minorHAnsi"/>
        </w:rPr>
      </w:pPr>
      <w:r w:rsidRPr="00676347">
        <w:rPr>
          <w:rFonts w:asciiTheme="minorHAnsi" w:hAnsiTheme="minorHAnsi" w:cstheme="minorHAnsi"/>
        </w:rPr>
        <w:t>Blue, round, biconvex</w:t>
      </w:r>
      <w:r w:rsidR="00890795">
        <w:rPr>
          <w:rFonts w:asciiTheme="minorHAnsi" w:hAnsiTheme="minorHAnsi" w:cstheme="minorHAnsi"/>
        </w:rPr>
        <w:t xml:space="preserve"> tablet</w:t>
      </w:r>
    </w:p>
    <w:p w14:paraId="14567276" w14:textId="77777777" w:rsidR="00F26321" w:rsidRPr="00F26321" w:rsidRDefault="00F26321" w:rsidP="00F26321">
      <w:pPr>
        <w:pStyle w:val="Lijstalinea"/>
        <w:spacing w:after="0"/>
        <w:ind w:left="426"/>
        <w:rPr>
          <w:rFonts w:asciiTheme="minorHAnsi" w:hAnsiTheme="minorHAnsi"/>
          <w:lang w:val="en-GB"/>
        </w:rPr>
      </w:pPr>
    </w:p>
    <w:p w14:paraId="5371C7EC" w14:textId="77777777" w:rsidR="00AE30FE" w:rsidRPr="00FF5E52" w:rsidRDefault="009B0007" w:rsidP="00423A98">
      <w:pPr>
        <w:spacing w:after="0"/>
        <w:rPr>
          <w:rFonts w:asciiTheme="minorHAnsi" w:hAnsiTheme="minorHAnsi"/>
          <w:b/>
        </w:rPr>
      </w:pPr>
      <w:r w:rsidRPr="00FF5E52">
        <w:rPr>
          <w:rFonts w:asciiTheme="minorHAnsi" w:hAnsiTheme="minorHAnsi"/>
          <w:b/>
        </w:rPr>
        <w:t xml:space="preserve">4- </w:t>
      </w:r>
      <w:r w:rsidR="00AE30FE" w:rsidRPr="00FF5E52">
        <w:rPr>
          <w:rFonts w:asciiTheme="minorHAnsi" w:hAnsiTheme="minorHAnsi"/>
          <w:b/>
        </w:rPr>
        <w:t>CLINICAL PARTICULARS</w:t>
      </w:r>
    </w:p>
    <w:p w14:paraId="4F0F8545" w14:textId="77777777" w:rsidR="00FD40F1" w:rsidRPr="00FF5E52" w:rsidRDefault="00FD40F1" w:rsidP="00423A98">
      <w:pPr>
        <w:spacing w:after="0"/>
        <w:rPr>
          <w:rFonts w:asciiTheme="minorHAnsi" w:hAnsiTheme="minorHAnsi"/>
          <w:b/>
        </w:rPr>
      </w:pPr>
    </w:p>
    <w:p w14:paraId="21788E6C" w14:textId="77777777" w:rsidR="00AE30FE" w:rsidRDefault="009B0007" w:rsidP="00F26321">
      <w:pPr>
        <w:spacing w:after="0"/>
        <w:ind w:left="426"/>
        <w:rPr>
          <w:rFonts w:asciiTheme="minorHAnsi" w:hAnsiTheme="minorHAnsi"/>
          <w:b/>
        </w:rPr>
      </w:pPr>
      <w:r w:rsidRPr="00FF5E52">
        <w:rPr>
          <w:rFonts w:asciiTheme="minorHAnsi" w:hAnsiTheme="minorHAnsi"/>
          <w:b/>
        </w:rPr>
        <w:t xml:space="preserve">4.1 </w:t>
      </w:r>
      <w:r w:rsidR="00AE30FE" w:rsidRPr="00FF5E52">
        <w:rPr>
          <w:rFonts w:asciiTheme="minorHAnsi" w:hAnsiTheme="minorHAnsi"/>
          <w:b/>
        </w:rPr>
        <w:t>Therapeutic indications</w:t>
      </w:r>
    </w:p>
    <w:p w14:paraId="28FC7D5B" w14:textId="77777777" w:rsidR="00676347" w:rsidRPr="00FF5E52" w:rsidRDefault="00676347" w:rsidP="00F26321">
      <w:pPr>
        <w:spacing w:after="0"/>
        <w:ind w:left="426"/>
        <w:rPr>
          <w:rFonts w:asciiTheme="minorHAnsi" w:hAnsiTheme="minorHAnsi"/>
          <w:b/>
        </w:rPr>
      </w:pPr>
    </w:p>
    <w:p w14:paraId="7961E7C5" w14:textId="77777777" w:rsidR="00F26321" w:rsidRPr="00205FA1" w:rsidRDefault="00676347" w:rsidP="00676347">
      <w:pPr>
        <w:pStyle w:val="Lijstalinea"/>
        <w:spacing w:after="0"/>
        <w:ind w:left="426"/>
        <w:rPr>
          <w:rFonts w:asciiTheme="minorHAnsi" w:hAnsiTheme="minorHAnsi"/>
        </w:rPr>
      </w:pPr>
      <w:r w:rsidRPr="006E338F">
        <w:rPr>
          <w:rFonts w:ascii="Calibri" w:hAnsi="Calibri" w:cs="Calibri"/>
          <w:lang w:val="en"/>
        </w:rPr>
        <w:t xml:space="preserve">Relief of symptoms in catarrhal or flu-related conditions with pain (mild or moderate), fever, </w:t>
      </w:r>
      <w:r w:rsidR="008C68C1">
        <w:rPr>
          <w:rFonts w:ascii="Calibri" w:hAnsi="Calibri" w:cs="Calibri"/>
          <w:lang w:val="en"/>
        </w:rPr>
        <w:t xml:space="preserve">nasal </w:t>
      </w:r>
      <w:r w:rsidRPr="006E338F">
        <w:rPr>
          <w:rFonts w:ascii="Calibri" w:hAnsi="Calibri" w:cs="Calibri"/>
          <w:lang w:val="en"/>
        </w:rPr>
        <w:t xml:space="preserve">congestion </w:t>
      </w:r>
      <w:r w:rsidR="008C68C1">
        <w:rPr>
          <w:rFonts w:ascii="Calibri" w:hAnsi="Calibri" w:cs="Calibri"/>
          <w:lang w:val="en"/>
        </w:rPr>
        <w:t>and</w:t>
      </w:r>
      <w:r w:rsidRPr="006E338F">
        <w:rPr>
          <w:rFonts w:ascii="Calibri" w:hAnsi="Calibri" w:cs="Calibri"/>
          <w:lang w:val="en"/>
        </w:rPr>
        <w:t xml:space="preserve"> discharge</w:t>
      </w:r>
      <w:r w:rsidR="008C68C1">
        <w:rPr>
          <w:rFonts w:ascii="Calibri" w:hAnsi="Calibri" w:cs="Calibri"/>
          <w:lang w:val="en"/>
        </w:rPr>
        <w:t xml:space="preserve"> and allergic rhinitis.</w:t>
      </w:r>
    </w:p>
    <w:p w14:paraId="3C0556FE" w14:textId="77777777" w:rsidR="00AE30FE" w:rsidRPr="00FF5E52" w:rsidRDefault="009B0007" w:rsidP="00F26321">
      <w:pPr>
        <w:spacing w:after="0"/>
        <w:ind w:left="426"/>
        <w:rPr>
          <w:rFonts w:asciiTheme="minorHAnsi" w:hAnsiTheme="minorHAnsi"/>
          <w:b/>
        </w:rPr>
      </w:pPr>
      <w:r w:rsidRPr="00FF5E52">
        <w:rPr>
          <w:rFonts w:asciiTheme="minorHAnsi" w:hAnsiTheme="minorHAnsi"/>
          <w:b/>
        </w:rPr>
        <w:lastRenderedPageBreak/>
        <w:t xml:space="preserve">4.2 </w:t>
      </w:r>
      <w:r w:rsidR="00AE30FE" w:rsidRPr="00FF5E52">
        <w:rPr>
          <w:rFonts w:asciiTheme="minorHAnsi" w:hAnsiTheme="minorHAnsi"/>
          <w:b/>
        </w:rPr>
        <w:t>Posology and mode of administration</w:t>
      </w:r>
    </w:p>
    <w:p w14:paraId="33E733CD" w14:textId="77777777" w:rsidR="00F26321" w:rsidRPr="00F26321" w:rsidRDefault="00F26321" w:rsidP="00423A98">
      <w:pPr>
        <w:spacing w:after="0"/>
        <w:rPr>
          <w:rFonts w:asciiTheme="minorHAnsi" w:hAnsiTheme="minorHAnsi"/>
        </w:rPr>
      </w:pPr>
    </w:p>
    <w:p w14:paraId="47BB1E08" w14:textId="77777777" w:rsidR="0011316A" w:rsidRPr="00F26321" w:rsidRDefault="009B0007" w:rsidP="00F26321">
      <w:pPr>
        <w:spacing w:after="0"/>
        <w:ind w:left="426"/>
        <w:rPr>
          <w:rFonts w:asciiTheme="minorHAnsi" w:hAnsiTheme="minorHAnsi"/>
          <w:b/>
        </w:rPr>
      </w:pPr>
      <w:r w:rsidRPr="00F26321">
        <w:rPr>
          <w:rFonts w:asciiTheme="minorHAnsi" w:hAnsiTheme="minorHAnsi"/>
          <w:b/>
        </w:rPr>
        <w:t xml:space="preserve">4.2.1 </w:t>
      </w:r>
      <w:r w:rsidR="0011316A" w:rsidRPr="00F26321">
        <w:rPr>
          <w:rFonts w:asciiTheme="minorHAnsi" w:hAnsiTheme="minorHAnsi"/>
          <w:b/>
        </w:rPr>
        <w:t>Posology</w:t>
      </w:r>
    </w:p>
    <w:p w14:paraId="707BFB96" w14:textId="2FE19507" w:rsidR="00F26321" w:rsidRDefault="00F26321" w:rsidP="00F26321">
      <w:pPr>
        <w:spacing w:after="0"/>
        <w:ind w:left="426"/>
        <w:rPr>
          <w:rFonts w:asciiTheme="minorHAnsi" w:hAnsiTheme="minorHAnsi"/>
        </w:rPr>
      </w:pPr>
      <w:r w:rsidRPr="00F26321">
        <w:rPr>
          <w:rFonts w:asciiTheme="minorHAnsi" w:hAnsiTheme="minorHAnsi"/>
        </w:rPr>
        <w:t>The usual dose for adults and children over 12 years of age is one tablet administered at a minimum interval of 6 hours, corresponding to a maximum of 4 tablets per day.</w:t>
      </w:r>
    </w:p>
    <w:p w14:paraId="7C1F08E1" w14:textId="77777777" w:rsidR="00AF6281" w:rsidRPr="00F26321" w:rsidRDefault="00AF6281" w:rsidP="00F26321">
      <w:pPr>
        <w:spacing w:after="0"/>
        <w:ind w:left="426"/>
        <w:rPr>
          <w:rFonts w:asciiTheme="minorHAnsi" w:hAnsiTheme="minorHAnsi"/>
        </w:rPr>
      </w:pPr>
    </w:p>
    <w:p w14:paraId="5F6F8BCC" w14:textId="77777777" w:rsidR="0011316A" w:rsidRPr="00FF5E52" w:rsidRDefault="009B0007" w:rsidP="00F26321">
      <w:pPr>
        <w:spacing w:after="0"/>
        <w:ind w:left="426"/>
        <w:rPr>
          <w:rFonts w:asciiTheme="minorHAnsi" w:hAnsiTheme="minorHAnsi"/>
          <w:b/>
        </w:rPr>
      </w:pPr>
      <w:r w:rsidRPr="00FF5E52">
        <w:rPr>
          <w:rFonts w:asciiTheme="minorHAnsi" w:hAnsiTheme="minorHAnsi"/>
          <w:b/>
        </w:rPr>
        <w:t xml:space="preserve">4.2.2 </w:t>
      </w:r>
      <w:r w:rsidR="0011316A" w:rsidRPr="00FF5E52">
        <w:rPr>
          <w:rFonts w:asciiTheme="minorHAnsi" w:hAnsiTheme="minorHAnsi"/>
          <w:b/>
        </w:rPr>
        <w:t>Special populations</w:t>
      </w:r>
    </w:p>
    <w:p w14:paraId="5552F6F0" w14:textId="4DA489B0" w:rsidR="00F56A08" w:rsidRDefault="00F56A08" w:rsidP="00F26321">
      <w:pPr>
        <w:spacing w:after="0"/>
        <w:ind w:left="426"/>
        <w:rPr>
          <w:rFonts w:asciiTheme="minorHAnsi" w:hAnsiTheme="minorHAnsi"/>
          <w:lang w:val="en-GB"/>
        </w:rPr>
      </w:pPr>
      <w:r w:rsidRPr="00F56A08">
        <w:rPr>
          <w:rFonts w:asciiTheme="minorHAnsi" w:hAnsiTheme="minorHAnsi"/>
          <w:lang w:val="en-GB"/>
        </w:rPr>
        <w:t>Posology as m</w:t>
      </w:r>
      <w:r>
        <w:rPr>
          <w:rFonts w:asciiTheme="minorHAnsi" w:hAnsiTheme="minorHAnsi"/>
          <w:lang w:val="en-GB"/>
        </w:rPr>
        <w:t>entioned under 4.2.1.</w:t>
      </w:r>
    </w:p>
    <w:p w14:paraId="3C42F8C8" w14:textId="77777777" w:rsidR="00AF6281" w:rsidRPr="00F56A08" w:rsidRDefault="00AF6281" w:rsidP="00F26321">
      <w:pPr>
        <w:spacing w:after="0"/>
        <w:ind w:left="426"/>
        <w:rPr>
          <w:rFonts w:asciiTheme="minorHAnsi" w:hAnsiTheme="minorHAnsi"/>
          <w:lang w:val="en-GB"/>
        </w:rPr>
      </w:pPr>
    </w:p>
    <w:p w14:paraId="6AD82941" w14:textId="77777777" w:rsidR="0011316A" w:rsidRPr="00F56A08" w:rsidRDefault="009B0007" w:rsidP="00F26321">
      <w:pPr>
        <w:spacing w:after="0"/>
        <w:ind w:left="426"/>
        <w:rPr>
          <w:rFonts w:asciiTheme="minorHAnsi" w:hAnsiTheme="minorHAnsi"/>
          <w:b/>
          <w:lang w:val="en-GB"/>
        </w:rPr>
      </w:pPr>
      <w:r w:rsidRPr="00F56A08">
        <w:rPr>
          <w:rFonts w:asciiTheme="minorHAnsi" w:hAnsiTheme="minorHAnsi"/>
          <w:b/>
          <w:lang w:val="en-GB"/>
        </w:rPr>
        <w:t xml:space="preserve">4.2.2 </w:t>
      </w:r>
      <w:r w:rsidR="00B17706" w:rsidRPr="00F56A08">
        <w:rPr>
          <w:rFonts w:asciiTheme="minorHAnsi" w:hAnsiTheme="minorHAnsi"/>
          <w:b/>
          <w:lang w:val="en-GB"/>
        </w:rPr>
        <w:t>P</w:t>
      </w:r>
      <w:r w:rsidR="0011316A" w:rsidRPr="00F56A08">
        <w:rPr>
          <w:rFonts w:asciiTheme="minorHAnsi" w:hAnsiTheme="minorHAnsi"/>
          <w:b/>
          <w:lang w:val="en-GB"/>
        </w:rPr>
        <w:t>ediatric population</w:t>
      </w:r>
    </w:p>
    <w:p w14:paraId="01B39B2D" w14:textId="77777777" w:rsidR="0011316A" w:rsidRDefault="00F26321" w:rsidP="00F26321">
      <w:pPr>
        <w:pStyle w:val="Lijstalinea"/>
        <w:spacing w:after="0"/>
        <w:ind w:left="426"/>
        <w:rPr>
          <w:rFonts w:asciiTheme="minorHAnsi" w:hAnsiTheme="minorHAnsi"/>
        </w:rPr>
      </w:pPr>
      <w:r w:rsidRPr="00205FA1">
        <w:rPr>
          <w:rFonts w:asciiTheme="minorHAnsi" w:hAnsiTheme="minorHAnsi"/>
        </w:rPr>
        <w:t>Rhino</w:t>
      </w:r>
      <w:r w:rsidR="00676347">
        <w:rPr>
          <w:rFonts w:asciiTheme="minorHAnsi" w:hAnsiTheme="minorHAnsi"/>
        </w:rPr>
        <w:t>P</w:t>
      </w:r>
      <w:r w:rsidRPr="00205FA1">
        <w:rPr>
          <w:rFonts w:asciiTheme="minorHAnsi" w:hAnsiTheme="minorHAnsi"/>
        </w:rPr>
        <w:t>arol is contra-indicated under the age of 12 years</w:t>
      </w:r>
      <w:r w:rsidR="00F56A08">
        <w:rPr>
          <w:rFonts w:asciiTheme="minorHAnsi" w:hAnsiTheme="minorHAnsi"/>
        </w:rPr>
        <w:t>.</w:t>
      </w:r>
    </w:p>
    <w:p w14:paraId="6254CADD" w14:textId="77777777" w:rsidR="00676347" w:rsidRPr="00205FA1" w:rsidRDefault="00676347" w:rsidP="00F26321">
      <w:pPr>
        <w:pStyle w:val="Lijstalinea"/>
        <w:spacing w:after="0"/>
        <w:ind w:left="426"/>
        <w:rPr>
          <w:rFonts w:asciiTheme="minorHAnsi" w:hAnsiTheme="minorHAnsi"/>
        </w:rPr>
      </w:pPr>
    </w:p>
    <w:p w14:paraId="69F75EFF" w14:textId="77777777" w:rsidR="0011316A" w:rsidRPr="00FF5E52" w:rsidRDefault="009B0007" w:rsidP="00F26321">
      <w:pPr>
        <w:spacing w:after="0"/>
        <w:ind w:left="426"/>
        <w:rPr>
          <w:rFonts w:asciiTheme="minorHAnsi" w:hAnsiTheme="minorHAnsi"/>
          <w:b/>
        </w:rPr>
      </w:pPr>
      <w:r w:rsidRPr="00FF5E52">
        <w:rPr>
          <w:rFonts w:asciiTheme="minorHAnsi" w:hAnsiTheme="minorHAnsi"/>
          <w:b/>
        </w:rPr>
        <w:t xml:space="preserve">4.2.3 </w:t>
      </w:r>
      <w:r w:rsidR="0011316A" w:rsidRPr="00FF5E52">
        <w:rPr>
          <w:rFonts w:asciiTheme="minorHAnsi" w:hAnsiTheme="minorHAnsi"/>
          <w:b/>
        </w:rPr>
        <w:t xml:space="preserve">Method of </w:t>
      </w:r>
      <w:r w:rsidR="00B17706" w:rsidRPr="00FF5E52">
        <w:rPr>
          <w:rFonts w:asciiTheme="minorHAnsi" w:hAnsiTheme="minorHAnsi"/>
          <w:b/>
        </w:rPr>
        <w:t>administration</w:t>
      </w:r>
    </w:p>
    <w:p w14:paraId="52043DE5" w14:textId="77777777" w:rsidR="004B6755" w:rsidRDefault="004B6755" w:rsidP="00F26321">
      <w:pPr>
        <w:spacing w:after="0"/>
        <w:ind w:left="426"/>
        <w:rPr>
          <w:rFonts w:asciiTheme="minorHAnsi" w:hAnsiTheme="minorHAnsi"/>
        </w:rPr>
      </w:pPr>
      <w:r>
        <w:rPr>
          <w:rFonts w:asciiTheme="minorHAnsi" w:hAnsiTheme="minorHAnsi"/>
        </w:rPr>
        <w:t>Tablet for oral use</w:t>
      </w:r>
    </w:p>
    <w:p w14:paraId="07C74B31" w14:textId="77777777" w:rsidR="00F56A08" w:rsidRDefault="00F56A08" w:rsidP="00F26321">
      <w:pPr>
        <w:spacing w:after="0"/>
        <w:ind w:left="426"/>
        <w:rPr>
          <w:rFonts w:asciiTheme="minorHAnsi" w:hAnsiTheme="minorHAnsi"/>
        </w:rPr>
      </w:pPr>
      <w:r>
        <w:rPr>
          <w:rFonts w:asciiTheme="minorHAnsi" w:hAnsiTheme="minorHAnsi"/>
        </w:rPr>
        <w:t>Tablet in its whole to be swallowed with a glass of water.</w:t>
      </w:r>
    </w:p>
    <w:p w14:paraId="039C57D8" w14:textId="77777777" w:rsidR="004B6755" w:rsidRDefault="004B6755" w:rsidP="00F26321">
      <w:pPr>
        <w:spacing w:after="0"/>
        <w:ind w:left="426"/>
        <w:rPr>
          <w:rFonts w:asciiTheme="minorHAnsi" w:hAnsiTheme="minorHAnsi"/>
        </w:rPr>
      </w:pPr>
    </w:p>
    <w:p w14:paraId="1FE2A00F" w14:textId="77777777" w:rsidR="00AE30FE" w:rsidRPr="00FF5E52" w:rsidRDefault="009B0007" w:rsidP="00F26321">
      <w:pPr>
        <w:spacing w:after="0"/>
        <w:ind w:left="426"/>
        <w:rPr>
          <w:rFonts w:asciiTheme="minorHAnsi" w:hAnsiTheme="minorHAnsi"/>
          <w:b/>
        </w:rPr>
      </w:pPr>
      <w:r w:rsidRPr="00FF5E52">
        <w:rPr>
          <w:rFonts w:asciiTheme="minorHAnsi" w:hAnsiTheme="minorHAnsi"/>
          <w:b/>
        </w:rPr>
        <w:t xml:space="preserve">4.3 </w:t>
      </w:r>
      <w:r w:rsidR="00AE30FE" w:rsidRPr="00FF5E52">
        <w:rPr>
          <w:rFonts w:asciiTheme="minorHAnsi" w:hAnsiTheme="minorHAnsi"/>
          <w:b/>
        </w:rPr>
        <w:t>Contraindications</w:t>
      </w:r>
    </w:p>
    <w:p w14:paraId="542327D4" w14:textId="77777777" w:rsidR="00F26321" w:rsidRPr="00F26321" w:rsidRDefault="00F26321" w:rsidP="00F26321">
      <w:pPr>
        <w:pStyle w:val="Lijstalinea"/>
        <w:spacing w:after="0"/>
        <w:ind w:left="426"/>
        <w:rPr>
          <w:rFonts w:asciiTheme="minorHAnsi" w:hAnsiTheme="minorHAnsi"/>
          <w:lang w:val="en-GB"/>
        </w:rPr>
      </w:pPr>
    </w:p>
    <w:p w14:paraId="63BBDBB0" w14:textId="77777777" w:rsidR="00F26321" w:rsidRPr="00F26321" w:rsidRDefault="00F26321" w:rsidP="00DF12E3">
      <w:pPr>
        <w:pStyle w:val="Lijstalinea"/>
        <w:numPr>
          <w:ilvl w:val="0"/>
          <w:numId w:val="15"/>
        </w:numPr>
        <w:spacing w:after="0"/>
        <w:ind w:left="709"/>
        <w:rPr>
          <w:rFonts w:asciiTheme="minorHAnsi" w:hAnsiTheme="minorHAnsi"/>
          <w:lang w:val="en-GB"/>
        </w:rPr>
      </w:pPr>
      <w:r w:rsidRPr="00F26321">
        <w:rPr>
          <w:rFonts w:asciiTheme="minorHAnsi" w:hAnsiTheme="minorHAnsi"/>
          <w:lang w:val="en-GB"/>
        </w:rPr>
        <w:t>Hypersensitivity to the active substances or to any of the excipients listed in section 6.1.</w:t>
      </w:r>
    </w:p>
    <w:p w14:paraId="38E7C974" w14:textId="77777777" w:rsidR="00F26321" w:rsidRPr="00F26321" w:rsidRDefault="00F26321" w:rsidP="00DF12E3">
      <w:pPr>
        <w:pStyle w:val="Lijstalinea"/>
        <w:numPr>
          <w:ilvl w:val="0"/>
          <w:numId w:val="15"/>
        </w:numPr>
        <w:spacing w:after="0"/>
        <w:ind w:left="709"/>
        <w:rPr>
          <w:rFonts w:asciiTheme="minorHAnsi" w:hAnsiTheme="minorHAnsi"/>
          <w:lang w:val="en-GB"/>
        </w:rPr>
      </w:pPr>
      <w:r w:rsidRPr="00F26321">
        <w:rPr>
          <w:rFonts w:asciiTheme="minorHAnsi" w:hAnsiTheme="minorHAnsi"/>
          <w:lang w:val="en-GB"/>
        </w:rPr>
        <w:t xml:space="preserve">Children under 12 years </w:t>
      </w:r>
      <w:r w:rsidR="004042AC">
        <w:rPr>
          <w:rFonts w:asciiTheme="minorHAnsi" w:hAnsiTheme="minorHAnsi"/>
          <w:lang w:val="en-GB"/>
        </w:rPr>
        <w:t>of age</w:t>
      </w:r>
      <w:r w:rsidRPr="00F26321">
        <w:rPr>
          <w:rFonts w:asciiTheme="minorHAnsi" w:hAnsiTheme="minorHAnsi"/>
          <w:lang w:val="en-GB"/>
        </w:rPr>
        <w:t>.</w:t>
      </w:r>
    </w:p>
    <w:p w14:paraId="2F282ACD" w14:textId="77777777" w:rsidR="00F26321" w:rsidRPr="00F26321" w:rsidRDefault="00F26321" w:rsidP="00DF12E3">
      <w:pPr>
        <w:pStyle w:val="Lijstalinea"/>
        <w:numPr>
          <w:ilvl w:val="0"/>
          <w:numId w:val="15"/>
        </w:numPr>
        <w:spacing w:after="0"/>
        <w:ind w:left="709"/>
        <w:rPr>
          <w:rFonts w:asciiTheme="minorHAnsi" w:hAnsiTheme="minorHAnsi"/>
          <w:lang w:val="en-GB"/>
        </w:rPr>
      </w:pPr>
      <w:r w:rsidRPr="00F26321">
        <w:rPr>
          <w:rFonts w:asciiTheme="minorHAnsi" w:hAnsiTheme="minorHAnsi"/>
          <w:lang w:val="en-GB"/>
        </w:rPr>
        <w:t>Contraindication</w:t>
      </w:r>
      <w:r w:rsidR="00DF12E3">
        <w:rPr>
          <w:rFonts w:asciiTheme="minorHAnsi" w:hAnsiTheme="minorHAnsi"/>
          <w:lang w:val="en-GB"/>
        </w:rPr>
        <w:t>s</w:t>
      </w:r>
      <w:r w:rsidRPr="00F26321">
        <w:rPr>
          <w:rFonts w:asciiTheme="minorHAnsi" w:hAnsiTheme="minorHAnsi"/>
          <w:lang w:val="en-GB"/>
        </w:rPr>
        <w:t xml:space="preserve"> related to the presence of chlorphenamine</w:t>
      </w:r>
    </w:p>
    <w:p w14:paraId="32FED523" w14:textId="77777777" w:rsidR="00F26321" w:rsidRPr="00F26321" w:rsidRDefault="00F26321" w:rsidP="00AF6281">
      <w:pPr>
        <w:pStyle w:val="Lijstalinea"/>
        <w:numPr>
          <w:ilvl w:val="1"/>
          <w:numId w:val="15"/>
        </w:numPr>
        <w:spacing w:after="0"/>
        <w:rPr>
          <w:rFonts w:asciiTheme="minorHAnsi" w:hAnsiTheme="minorHAnsi"/>
          <w:lang w:val="en-GB"/>
        </w:rPr>
      </w:pPr>
      <w:r w:rsidRPr="00F26321">
        <w:rPr>
          <w:rFonts w:asciiTheme="minorHAnsi" w:hAnsiTheme="minorHAnsi"/>
          <w:lang w:val="en-GB"/>
        </w:rPr>
        <w:t xml:space="preserve">Glaucoma by </w:t>
      </w:r>
      <w:r w:rsidR="00DF12E3">
        <w:rPr>
          <w:rFonts w:asciiTheme="minorHAnsi" w:hAnsiTheme="minorHAnsi"/>
          <w:lang w:val="en-GB"/>
        </w:rPr>
        <w:t>narrow</w:t>
      </w:r>
      <w:r w:rsidRPr="00F26321">
        <w:rPr>
          <w:rFonts w:asciiTheme="minorHAnsi" w:hAnsiTheme="minorHAnsi"/>
          <w:lang w:val="en-GB"/>
        </w:rPr>
        <w:t xml:space="preserve"> angle</w:t>
      </w:r>
    </w:p>
    <w:p w14:paraId="7543714F" w14:textId="77777777" w:rsidR="00F26321" w:rsidRPr="00F26321" w:rsidRDefault="00F26321" w:rsidP="00AF6281">
      <w:pPr>
        <w:pStyle w:val="Lijstalinea"/>
        <w:numPr>
          <w:ilvl w:val="1"/>
          <w:numId w:val="15"/>
        </w:numPr>
        <w:spacing w:after="0"/>
        <w:rPr>
          <w:rFonts w:asciiTheme="minorHAnsi" w:hAnsiTheme="minorHAnsi"/>
          <w:lang w:val="en-GB"/>
        </w:rPr>
      </w:pPr>
      <w:r w:rsidRPr="00F26321">
        <w:rPr>
          <w:rFonts w:asciiTheme="minorHAnsi" w:hAnsiTheme="minorHAnsi"/>
          <w:lang w:val="en-GB"/>
        </w:rPr>
        <w:t>Urinary retention related to urinary tract or prostate disorders</w:t>
      </w:r>
    </w:p>
    <w:p w14:paraId="375EDC7C" w14:textId="77777777" w:rsidR="00F26321" w:rsidRPr="00F26321" w:rsidRDefault="00F26321" w:rsidP="00DF12E3">
      <w:pPr>
        <w:pStyle w:val="Lijstalinea"/>
        <w:numPr>
          <w:ilvl w:val="0"/>
          <w:numId w:val="15"/>
        </w:numPr>
        <w:spacing w:after="0"/>
        <w:ind w:left="709"/>
        <w:rPr>
          <w:rFonts w:asciiTheme="minorHAnsi" w:hAnsiTheme="minorHAnsi"/>
          <w:lang w:val="en-GB"/>
        </w:rPr>
      </w:pPr>
      <w:r w:rsidRPr="00F26321">
        <w:rPr>
          <w:rFonts w:asciiTheme="minorHAnsi" w:hAnsiTheme="minorHAnsi"/>
          <w:lang w:val="en-GB"/>
        </w:rPr>
        <w:t>Contraindication related to the presence of phenylephrine</w:t>
      </w:r>
    </w:p>
    <w:p w14:paraId="4D3D5365" w14:textId="77777777" w:rsidR="00F26321" w:rsidRPr="00F26321" w:rsidRDefault="00F26321" w:rsidP="00AF6281">
      <w:pPr>
        <w:pStyle w:val="Lijstalinea"/>
        <w:numPr>
          <w:ilvl w:val="1"/>
          <w:numId w:val="15"/>
        </w:numPr>
        <w:spacing w:after="0"/>
        <w:rPr>
          <w:rFonts w:asciiTheme="minorHAnsi" w:hAnsiTheme="minorHAnsi"/>
          <w:lang w:val="en-GB"/>
        </w:rPr>
      </w:pPr>
      <w:r w:rsidRPr="00F26321">
        <w:rPr>
          <w:rFonts w:asciiTheme="minorHAnsi" w:hAnsiTheme="minorHAnsi"/>
          <w:lang w:val="en-GB"/>
        </w:rPr>
        <w:t>Uncontrolled hypertension and serious cardiovascular disease</w:t>
      </w:r>
    </w:p>
    <w:p w14:paraId="44B51512" w14:textId="77777777" w:rsidR="00F26321" w:rsidRPr="00F26321" w:rsidRDefault="00F26321" w:rsidP="00AF6281">
      <w:pPr>
        <w:pStyle w:val="Lijstalinea"/>
        <w:numPr>
          <w:ilvl w:val="1"/>
          <w:numId w:val="15"/>
        </w:numPr>
        <w:spacing w:after="0"/>
        <w:rPr>
          <w:rFonts w:asciiTheme="minorHAnsi" w:hAnsiTheme="minorHAnsi"/>
          <w:lang w:val="en-GB"/>
        </w:rPr>
      </w:pPr>
      <w:r w:rsidRPr="00F26321">
        <w:rPr>
          <w:rFonts w:asciiTheme="minorHAnsi" w:hAnsiTheme="minorHAnsi"/>
          <w:lang w:val="en-GB"/>
        </w:rPr>
        <w:t xml:space="preserve">Treatment with </w:t>
      </w:r>
      <w:r w:rsidR="005831C2" w:rsidRPr="00F26321">
        <w:rPr>
          <w:rFonts w:asciiTheme="minorHAnsi" w:hAnsiTheme="minorHAnsi"/>
          <w:lang w:val="en-GB"/>
        </w:rPr>
        <w:t>monoaminoxidase</w:t>
      </w:r>
      <w:r w:rsidRPr="00F26321">
        <w:rPr>
          <w:rFonts w:asciiTheme="minorHAnsi" w:hAnsiTheme="minorHAnsi"/>
          <w:lang w:val="en-GB"/>
        </w:rPr>
        <w:t xml:space="preserve"> inhibitors (MAOIs)</w:t>
      </w:r>
    </w:p>
    <w:p w14:paraId="71F62309" w14:textId="77777777" w:rsidR="00F26321" w:rsidRPr="00F26321" w:rsidRDefault="00F26321" w:rsidP="00DF12E3">
      <w:pPr>
        <w:pStyle w:val="Lijstalinea"/>
        <w:numPr>
          <w:ilvl w:val="0"/>
          <w:numId w:val="15"/>
        </w:numPr>
        <w:spacing w:after="0"/>
        <w:ind w:left="709"/>
        <w:rPr>
          <w:rFonts w:asciiTheme="minorHAnsi" w:hAnsiTheme="minorHAnsi"/>
          <w:lang w:val="en-GB"/>
        </w:rPr>
      </w:pPr>
      <w:r w:rsidRPr="00F26321">
        <w:rPr>
          <w:rFonts w:asciiTheme="minorHAnsi" w:hAnsiTheme="minorHAnsi"/>
          <w:lang w:val="en-GB"/>
        </w:rPr>
        <w:t>Contraindication related to the presence of paracetamol</w:t>
      </w:r>
    </w:p>
    <w:p w14:paraId="0AAB05C3" w14:textId="77777777" w:rsidR="007970DD" w:rsidRDefault="00F26321" w:rsidP="00AF6281">
      <w:pPr>
        <w:pStyle w:val="Lijstalinea"/>
        <w:numPr>
          <w:ilvl w:val="1"/>
          <w:numId w:val="15"/>
        </w:numPr>
        <w:spacing w:after="0"/>
        <w:rPr>
          <w:rFonts w:asciiTheme="minorHAnsi" w:hAnsiTheme="minorHAnsi"/>
          <w:lang w:val="en-GB"/>
        </w:rPr>
      </w:pPr>
      <w:r w:rsidRPr="00F26321">
        <w:rPr>
          <w:rFonts w:asciiTheme="minorHAnsi" w:hAnsiTheme="minorHAnsi"/>
          <w:lang w:val="en-GB"/>
        </w:rPr>
        <w:t>Severe hepatocellular insufficiency</w:t>
      </w:r>
    </w:p>
    <w:p w14:paraId="5E08B61F" w14:textId="77777777" w:rsidR="00DF12E3" w:rsidRPr="00F26321" w:rsidRDefault="00DF12E3" w:rsidP="00F26321">
      <w:pPr>
        <w:pStyle w:val="Lijstalinea"/>
        <w:spacing w:after="0"/>
        <w:ind w:left="426"/>
        <w:rPr>
          <w:rFonts w:asciiTheme="minorHAnsi" w:hAnsiTheme="minorHAnsi"/>
          <w:lang w:val="en-GB"/>
        </w:rPr>
      </w:pPr>
    </w:p>
    <w:p w14:paraId="0F3FAA84" w14:textId="77777777" w:rsidR="00AE30FE" w:rsidRPr="00FF5E52" w:rsidRDefault="009B0007" w:rsidP="00F26321">
      <w:pPr>
        <w:spacing w:after="0"/>
        <w:ind w:left="426"/>
        <w:rPr>
          <w:rFonts w:asciiTheme="minorHAnsi" w:hAnsiTheme="minorHAnsi"/>
          <w:b/>
        </w:rPr>
      </w:pPr>
      <w:r w:rsidRPr="00FF5E52">
        <w:rPr>
          <w:rFonts w:asciiTheme="minorHAnsi" w:hAnsiTheme="minorHAnsi"/>
          <w:b/>
        </w:rPr>
        <w:t xml:space="preserve">4.4 </w:t>
      </w:r>
      <w:r w:rsidR="00AE30FE" w:rsidRPr="00FF5E52">
        <w:rPr>
          <w:rFonts w:asciiTheme="minorHAnsi" w:hAnsiTheme="minorHAnsi"/>
          <w:b/>
        </w:rPr>
        <w:t>Special warning and precautions for use</w:t>
      </w:r>
    </w:p>
    <w:p w14:paraId="187D48F8" w14:textId="77777777" w:rsidR="00DF12E3" w:rsidRDefault="00DF12E3" w:rsidP="00DF12E3">
      <w:pPr>
        <w:spacing w:after="0"/>
        <w:ind w:left="426"/>
        <w:rPr>
          <w:rFonts w:asciiTheme="minorHAnsi" w:hAnsiTheme="minorHAnsi"/>
          <w:b/>
        </w:rPr>
      </w:pPr>
    </w:p>
    <w:p w14:paraId="196522B8" w14:textId="77777777" w:rsidR="00DF12E3" w:rsidRPr="00FF5E52" w:rsidRDefault="00DF12E3" w:rsidP="00DF12E3">
      <w:pPr>
        <w:spacing w:after="0"/>
        <w:ind w:left="426"/>
        <w:rPr>
          <w:rFonts w:asciiTheme="minorHAnsi" w:hAnsiTheme="minorHAnsi"/>
          <w:b/>
        </w:rPr>
      </w:pPr>
      <w:r w:rsidRPr="00FF5E52">
        <w:rPr>
          <w:rFonts w:asciiTheme="minorHAnsi" w:hAnsiTheme="minorHAnsi"/>
          <w:b/>
        </w:rPr>
        <w:t>4.4.1 General information</w:t>
      </w:r>
    </w:p>
    <w:p w14:paraId="57F1B167" w14:textId="77777777" w:rsidR="00DF12E3" w:rsidRPr="00DF12E3" w:rsidRDefault="00DF12E3" w:rsidP="00DF12E3">
      <w:pPr>
        <w:spacing w:after="0"/>
        <w:ind w:left="426"/>
        <w:rPr>
          <w:rFonts w:asciiTheme="minorHAnsi" w:hAnsiTheme="minorHAnsi"/>
        </w:rPr>
      </w:pPr>
    </w:p>
    <w:p w14:paraId="6E2F9DF9" w14:textId="77777777" w:rsidR="00840FDA" w:rsidRPr="00C90CA6" w:rsidRDefault="00840FDA" w:rsidP="00C90CA6">
      <w:pPr>
        <w:spacing w:after="0"/>
        <w:ind w:left="426"/>
        <w:rPr>
          <w:rFonts w:asciiTheme="minorHAnsi" w:hAnsiTheme="minorHAnsi"/>
          <w:b/>
          <w:i/>
        </w:rPr>
      </w:pPr>
      <w:r w:rsidRPr="00C90CA6">
        <w:rPr>
          <w:rFonts w:asciiTheme="minorHAnsi" w:hAnsiTheme="minorHAnsi"/>
          <w:b/>
          <w:i/>
        </w:rPr>
        <w:t>Warnings related to the presence of paracetamol</w:t>
      </w:r>
    </w:p>
    <w:p w14:paraId="33CC4654" w14:textId="77777777" w:rsidR="00840FDA" w:rsidRPr="00C90CA6" w:rsidRDefault="00840FDA" w:rsidP="00C90CA6">
      <w:pPr>
        <w:pStyle w:val="Lijstalinea"/>
        <w:numPr>
          <w:ilvl w:val="0"/>
          <w:numId w:val="30"/>
        </w:numPr>
        <w:spacing w:after="0"/>
        <w:rPr>
          <w:rFonts w:asciiTheme="minorHAnsi" w:hAnsiTheme="minorHAnsi"/>
          <w:lang w:val="en-GB"/>
        </w:rPr>
      </w:pPr>
      <w:r w:rsidRPr="00C90CA6">
        <w:rPr>
          <w:rFonts w:asciiTheme="minorHAnsi" w:hAnsiTheme="minorHAnsi"/>
          <w:lang w:val="en-GB"/>
        </w:rPr>
        <w:t>Prolonged, frequent or simultaneous use of other products containing paracetamol is not recommended.</w:t>
      </w:r>
    </w:p>
    <w:p w14:paraId="3EB2DB82" w14:textId="77777777" w:rsidR="00840FDA" w:rsidRPr="002B281A" w:rsidRDefault="00840FDA" w:rsidP="00840FDA">
      <w:pPr>
        <w:spacing w:after="0"/>
        <w:ind w:left="567"/>
        <w:rPr>
          <w:rFonts w:asciiTheme="minorHAnsi" w:eastAsia="Times New Roman" w:hAnsiTheme="minorHAnsi"/>
          <w:sz w:val="22"/>
          <w:szCs w:val="22"/>
          <w:lang w:val="en-GB"/>
        </w:rPr>
      </w:pPr>
    </w:p>
    <w:p w14:paraId="6E9BDFA4" w14:textId="77777777" w:rsidR="00840FDA" w:rsidRPr="00C90CA6" w:rsidRDefault="00840FDA" w:rsidP="00C90CA6">
      <w:pPr>
        <w:pStyle w:val="Lijstalinea"/>
        <w:numPr>
          <w:ilvl w:val="0"/>
          <w:numId w:val="30"/>
        </w:numPr>
        <w:spacing w:after="0"/>
        <w:rPr>
          <w:rFonts w:asciiTheme="minorHAnsi" w:hAnsiTheme="minorHAnsi"/>
          <w:lang w:val="en-GB"/>
        </w:rPr>
      </w:pPr>
      <w:r w:rsidRPr="00C90CA6">
        <w:rPr>
          <w:rFonts w:asciiTheme="minorHAnsi" w:hAnsiTheme="minorHAnsi"/>
          <w:lang w:val="en-GB"/>
        </w:rPr>
        <w:t xml:space="preserve">In case of </w:t>
      </w:r>
      <w:r w:rsidRPr="00C90CA6">
        <w:rPr>
          <w:rFonts w:asciiTheme="minorHAnsi" w:hAnsiTheme="minorHAnsi"/>
          <w:b/>
          <w:lang w:val="en-GB"/>
        </w:rPr>
        <w:t>overdose</w:t>
      </w:r>
      <w:r w:rsidRPr="00C90CA6">
        <w:rPr>
          <w:rFonts w:asciiTheme="minorHAnsi" w:hAnsiTheme="minorHAnsi"/>
          <w:lang w:val="en-GB"/>
        </w:rPr>
        <w:t xml:space="preserve"> (several daily doses at one time) severe liver failure can occur, with loss of consciousness. In this case, it is imperative to perform an intravenous infusion with acetylcysteine in an intensive care unit. See also section 4.9.</w:t>
      </w:r>
    </w:p>
    <w:p w14:paraId="6CDF997A" w14:textId="77777777" w:rsidR="00840FDA" w:rsidRPr="00C90CA6" w:rsidRDefault="00840FDA" w:rsidP="00840FDA">
      <w:pPr>
        <w:spacing w:after="0"/>
        <w:ind w:left="567"/>
        <w:rPr>
          <w:rFonts w:asciiTheme="minorHAnsi" w:eastAsia="Times New Roman" w:hAnsiTheme="minorHAnsi"/>
          <w:lang w:val="en-GB"/>
        </w:rPr>
      </w:pPr>
    </w:p>
    <w:p w14:paraId="590FC3BF" w14:textId="77777777" w:rsidR="00840FDA" w:rsidRPr="00C90CA6" w:rsidRDefault="00840FDA" w:rsidP="00C90CA6">
      <w:pPr>
        <w:pStyle w:val="Lijstalinea"/>
        <w:numPr>
          <w:ilvl w:val="0"/>
          <w:numId w:val="30"/>
        </w:numPr>
        <w:spacing w:after="0"/>
        <w:rPr>
          <w:rFonts w:asciiTheme="minorHAnsi" w:hAnsiTheme="minorHAnsi"/>
          <w:lang w:val="en-GB"/>
        </w:rPr>
      </w:pPr>
      <w:r w:rsidRPr="00C90CA6">
        <w:rPr>
          <w:rFonts w:asciiTheme="minorHAnsi" w:hAnsiTheme="minorHAnsi"/>
          <w:lang w:val="en-GB"/>
        </w:rPr>
        <w:t>After long-term treatment (&gt; 3 months) reactive headaches can develop. These headaches caused by the abuse of analgesics (MOH or medicine-overuse headache) should not be treated by increasing the dose. In these cases, the use of analgesics should be stopped on the advice of a doctor. Sudden discontinuation after prolonged treatment with high of doses analgesics may lead to headaches, fatigue, muscle aches, nervousness and reflex symptoms. These withdrawal symptoms disappear within a few days</w:t>
      </w:r>
      <w:r w:rsidR="00C90CA6" w:rsidRPr="00C90CA6">
        <w:rPr>
          <w:rFonts w:asciiTheme="minorHAnsi" w:hAnsiTheme="minorHAnsi"/>
          <w:lang w:val="en-GB"/>
        </w:rPr>
        <w:t>.</w:t>
      </w:r>
    </w:p>
    <w:p w14:paraId="4CD55BEA" w14:textId="77777777" w:rsidR="00C90CA6" w:rsidRDefault="00C90CA6" w:rsidP="00DF12E3">
      <w:pPr>
        <w:spacing w:after="0"/>
        <w:ind w:left="426"/>
        <w:rPr>
          <w:rFonts w:asciiTheme="minorHAnsi" w:hAnsiTheme="minorHAnsi"/>
          <w:b/>
        </w:rPr>
      </w:pPr>
    </w:p>
    <w:p w14:paraId="3033FE92" w14:textId="77777777" w:rsidR="00C90CA6" w:rsidRPr="00C90CA6" w:rsidRDefault="00C90CA6" w:rsidP="00C90CA6">
      <w:pPr>
        <w:pStyle w:val="Lijstalinea"/>
        <w:spacing w:after="0"/>
        <w:ind w:left="426"/>
        <w:rPr>
          <w:rFonts w:asciiTheme="minorHAnsi" w:hAnsiTheme="minorHAnsi"/>
          <w:b/>
          <w:i/>
        </w:rPr>
      </w:pPr>
      <w:r w:rsidRPr="00C90CA6">
        <w:rPr>
          <w:rFonts w:asciiTheme="minorHAnsi" w:hAnsiTheme="minorHAnsi"/>
          <w:b/>
          <w:i/>
        </w:rPr>
        <w:t>Warnings related to the presence of phenylephrine</w:t>
      </w:r>
    </w:p>
    <w:p w14:paraId="55B9E35B" w14:textId="77777777" w:rsidR="00C90CA6" w:rsidRPr="00DF12E3" w:rsidRDefault="00C90CA6" w:rsidP="00C90CA6">
      <w:pPr>
        <w:pStyle w:val="Lijstalinea"/>
        <w:numPr>
          <w:ilvl w:val="0"/>
          <w:numId w:val="16"/>
        </w:numPr>
        <w:spacing w:after="0"/>
        <w:rPr>
          <w:rFonts w:asciiTheme="minorHAnsi" w:hAnsiTheme="minorHAnsi"/>
          <w:lang w:val="en-GB"/>
        </w:rPr>
      </w:pPr>
      <w:r w:rsidRPr="00DF12E3">
        <w:rPr>
          <w:rFonts w:asciiTheme="minorHAnsi" w:hAnsiTheme="minorHAnsi"/>
          <w:lang w:val="en-GB"/>
        </w:rPr>
        <w:t>Special caution should be exercised when administered to patients with cardiovascular disease, hyperthyroidism or diabetes, when concomitant administration of anaesthetics that sensitize the myocardium to sympathomimetics (e.g. trichlorethylene, cyclopropane, in the case of simultaneous administration of other sympathomimetics, in case of asthma and in case of increased risk of cerebral arteriosclerosis.</w:t>
      </w:r>
    </w:p>
    <w:p w14:paraId="5753FC5D" w14:textId="77777777" w:rsidR="00C90CA6" w:rsidRPr="00DF12E3" w:rsidRDefault="00C90CA6" w:rsidP="00C90CA6">
      <w:pPr>
        <w:pStyle w:val="Lijstalinea"/>
        <w:numPr>
          <w:ilvl w:val="0"/>
          <w:numId w:val="16"/>
        </w:numPr>
        <w:spacing w:after="0"/>
        <w:rPr>
          <w:rFonts w:asciiTheme="minorHAnsi" w:hAnsiTheme="minorHAnsi"/>
          <w:lang w:val="en-GB"/>
        </w:rPr>
      </w:pPr>
      <w:r>
        <w:rPr>
          <w:rFonts w:asciiTheme="minorHAnsi" w:hAnsiTheme="minorHAnsi"/>
          <w:lang w:val="en-GB"/>
        </w:rPr>
        <w:t>M</w:t>
      </w:r>
      <w:r w:rsidRPr="00DF12E3">
        <w:rPr>
          <w:rFonts w:asciiTheme="minorHAnsi" w:hAnsiTheme="minorHAnsi"/>
          <w:lang w:val="en-GB"/>
        </w:rPr>
        <w:t>onoamine oxidase inhibitors</w:t>
      </w:r>
      <w:r>
        <w:rPr>
          <w:rFonts w:asciiTheme="minorHAnsi" w:hAnsiTheme="minorHAnsi"/>
          <w:lang w:val="en-GB"/>
        </w:rPr>
        <w:t xml:space="preserve"> also </w:t>
      </w:r>
      <w:r w:rsidRPr="00DF12E3">
        <w:rPr>
          <w:rFonts w:asciiTheme="minorHAnsi" w:hAnsiTheme="minorHAnsi"/>
          <w:lang w:val="en-GB"/>
        </w:rPr>
        <w:t>inhibit phenylephrine degradation result</w:t>
      </w:r>
      <w:r>
        <w:rPr>
          <w:rFonts w:asciiTheme="minorHAnsi" w:hAnsiTheme="minorHAnsi"/>
          <w:lang w:val="en-GB"/>
        </w:rPr>
        <w:t>ing</w:t>
      </w:r>
      <w:r w:rsidRPr="00DF12E3">
        <w:rPr>
          <w:rFonts w:asciiTheme="minorHAnsi" w:hAnsiTheme="minorHAnsi"/>
          <w:lang w:val="en-GB"/>
        </w:rPr>
        <w:t xml:space="preserve"> in a significant increase in adrenergic activity</w:t>
      </w:r>
      <w:r>
        <w:rPr>
          <w:rFonts w:asciiTheme="minorHAnsi" w:hAnsiTheme="minorHAnsi"/>
          <w:lang w:val="en-GB"/>
        </w:rPr>
        <w:t xml:space="preserve">. </w:t>
      </w:r>
      <w:r w:rsidRPr="00DF12E3">
        <w:rPr>
          <w:rFonts w:asciiTheme="minorHAnsi" w:hAnsiTheme="minorHAnsi"/>
          <w:lang w:val="en-GB"/>
        </w:rPr>
        <w:t>Rhino</w:t>
      </w:r>
      <w:r>
        <w:rPr>
          <w:rFonts w:asciiTheme="minorHAnsi" w:hAnsiTheme="minorHAnsi"/>
          <w:lang w:val="en-GB"/>
        </w:rPr>
        <w:t>P</w:t>
      </w:r>
      <w:r w:rsidRPr="00DF12E3">
        <w:rPr>
          <w:rFonts w:asciiTheme="minorHAnsi" w:hAnsiTheme="minorHAnsi"/>
          <w:lang w:val="en-GB"/>
        </w:rPr>
        <w:t xml:space="preserve">arol is contraindicated in </w:t>
      </w:r>
      <w:r>
        <w:rPr>
          <w:rFonts w:asciiTheme="minorHAnsi" w:hAnsiTheme="minorHAnsi"/>
          <w:lang w:val="en-GB"/>
        </w:rPr>
        <w:t xml:space="preserve">patients under MAOI-treatment </w:t>
      </w:r>
      <w:r w:rsidRPr="00DF12E3">
        <w:rPr>
          <w:rFonts w:asciiTheme="minorHAnsi" w:hAnsiTheme="minorHAnsi"/>
          <w:lang w:val="en-GB"/>
        </w:rPr>
        <w:t>or within two weeks</w:t>
      </w:r>
      <w:r>
        <w:rPr>
          <w:rFonts w:asciiTheme="minorHAnsi" w:hAnsiTheme="minorHAnsi"/>
          <w:lang w:val="en-GB"/>
        </w:rPr>
        <w:t xml:space="preserve"> of discontinuing such therapy.</w:t>
      </w:r>
    </w:p>
    <w:p w14:paraId="4C05619D" w14:textId="77777777" w:rsidR="00C90CA6" w:rsidRPr="00C90CA6" w:rsidRDefault="00C90CA6" w:rsidP="00C90CA6">
      <w:pPr>
        <w:pStyle w:val="Lijstalinea"/>
        <w:spacing w:after="0"/>
        <w:ind w:left="426"/>
        <w:rPr>
          <w:rFonts w:asciiTheme="minorHAnsi" w:hAnsiTheme="minorHAnsi"/>
          <w:lang w:val="en-GB"/>
        </w:rPr>
      </w:pPr>
    </w:p>
    <w:p w14:paraId="057E981C" w14:textId="77777777" w:rsidR="00DF12E3" w:rsidRPr="00C90CA6" w:rsidRDefault="00DF12E3" w:rsidP="00DF12E3">
      <w:pPr>
        <w:spacing w:after="0"/>
        <w:ind w:left="426"/>
        <w:rPr>
          <w:rFonts w:asciiTheme="minorHAnsi" w:hAnsiTheme="minorHAnsi"/>
          <w:b/>
          <w:i/>
        </w:rPr>
      </w:pPr>
      <w:r w:rsidRPr="00C90CA6">
        <w:rPr>
          <w:rFonts w:asciiTheme="minorHAnsi" w:hAnsiTheme="minorHAnsi"/>
          <w:b/>
          <w:i/>
        </w:rPr>
        <w:t>Warnings related to the presence of chlorphenamine</w:t>
      </w:r>
    </w:p>
    <w:p w14:paraId="649E1601" w14:textId="77777777" w:rsidR="00FD40F1" w:rsidRPr="00C90CA6" w:rsidRDefault="00DF12E3" w:rsidP="00BD0B61">
      <w:pPr>
        <w:pStyle w:val="Lijstalinea"/>
        <w:numPr>
          <w:ilvl w:val="0"/>
          <w:numId w:val="31"/>
        </w:numPr>
        <w:spacing w:after="0"/>
        <w:ind w:left="782" w:hanging="357"/>
        <w:rPr>
          <w:rFonts w:asciiTheme="minorHAnsi" w:hAnsiTheme="minorHAnsi"/>
        </w:rPr>
      </w:pPr>
      <w:r w:rsidRPr="00C90CA6">
        <w:rPr>
          <w:rFonts w:asciiTheme="minorHAnsi" w:hAnsiTheme="minorHAnsi"/>
        </w:rPr>
        <w:t>Caution should be exercised when taking other sedating drugs, such as neuroleptics, anxiolytics and sleeping pills, in case of asthma, obstruction of the bladder neck, liver failure, obstruction pyloroduodenal and peptic ulcer with stenosis.</w:t>
      </w:r>
    </w:p>
    <w:p w14:paraId="1FBF082C" w14:textId="77777777" w:rsidR="00DF12E3" w:rsidRPr="00205FA1" w:rsidRDefault="00DF12E3" w:rsidP="00DF12E3">
      <w:pPr>
        <w:pStyle w:val="Lijstalinea"/>
        <w:spacing w:after="0"/>
        <w:ind w:left="426"/>
        <w:rPr>
          <w:rFonts w:asciiTheme="minorHAnsi" w:hAnsiTheme="minorHAnsi"/>
        </w:rPr>
      </w:pPr>
    </w:p>
    <w:p w14:paraId="7EA9315C" w14:textId="77777777" w:rsidR="004B6755" w:rsidRPr="00BD0B61" w:rsidRDefault="004B6755" w:rsidP="004B6755">
      <w:pPr>
        <w:spacing w:after="0"/>
        <w:ind w:left="567"/>
        <w:rPr>
          <w:rFonts w:asciiTheme="minorHAnsi" w:eastAsia="Times New Roman" w:hAnsiTheme="minorHAnsi"/>
          <w:b/>
          <w:i/>
          <w:lang w:val="en-GB"/>
        </w:rPr>
      </w:pPr>
      <w:r w:rsidRPr="00BD0B61">
        <w:rPr>
          <w:rFonts w:asciiTheme="minorHAnsi" w:eastAsia="Times New Roman" w:hAnsiTheme="minorHAnsi"/>
          <w:b/>
          <w:i/>
          <w:lang w:val="en-GB"/>
        </w:rPr>
        <w:t>Renal and hepatic insufficiency</w:t>
      </w:r>
    </w:p>
    <w:p w14:paraId="3BD78B29" w14:textId="77777777" w:rsidR="004B6755" w:rsidRPr="00BD0B61" w:rsidRDefault="004B6755" w:rsidP="00BD0B61">
      <w:pPr>
        <w:pStyle w:val="Lijstalinea"/>
        <w:numPr>
          <w:ilvl w:val="0"/>
          <w:numId w:val="17"/>
        </w:numPr>
        <w:spacing w:after="0"/>
        <w:ind w:left="867" w:hanging="357"/>
        <w:rPr>
          <w:rFonts w:asciiTheme="minorHAnsi" w:hAnsiTheme="minorHAnsi"/>
          <w:lang w:val="en-GB"/>
        </w:rPr>
      </w:pPr>
      <w:r w:rsidRPr="00BD0B61">
        <w:rPr>
          <w:rFonts w:asciiTheme="minorHAnsi" w:hAnsiTheme="minorHAnsi"/>
          <w:lang w:val="en-GB"/>
        </w:rPr>
        <w:t>Administration of paracetamol to patients with moderate to severe renal impairment may result in accumulation of conjugated derivatives.</w:t>
      </w:r>
    </w:p>
    <w:p w14:paraId="57027DBC" w14:textId="77777777" w:rsidR="004B6755" w:rsidRPr="00BD0B61" w:rsidRDefault="004B6755" w:rsidP="00BD0B61">
      <w:pPr>
        <w:pStyle w:val="Lijstalinea"/>
        <w:numPr>
          <w:ilvl w:val="0"/>
          <w:numId w:val="17"/>
        </w:numPr>
        <w:spacing w:after="0"/>
        <w:ind w:left="867" w:hanging="357"/>
        <w:rPr>
          <w:rFonts w:asciiTheme="minorHAnsi" w:hAnsiTheme="minorHAnsi"/>
          <w:lang w:val="en-GB"/>
        </w:rPr>
      </w:pPr>
      <w:r w:rsidRPr="00BD0B61">
        <w:rPr>
          <w:rFonts w:asciiTheme="minorHAnsi" w:hAnsiTheme="minorHAnsi"/>
          <w:lang w:val="en-GB"/>
        </w:rPr>
        <w:t>The risk of liver toxicity is significantly increased in chronic alcohol abuse. Dosage reduction is therefore required in these patients.</w:t>
      </w:r>
    </w:p>
    <w:p w14:paraId="159E66F9" w14:textId="77777777" w:rsidR="004B6755" w:rsidRPr="00BD0B61" w:rsidRDefault="004B6755" w:rsidP="00BD0B61">
      <w:pPr>
        <w:pStyle w:val="Lijstalinea"/>
        <w:numPr>
          <w:ilvl w:val="0"/>
          <w:numId w:val="17"/>
        </w:numPr>
        <w:spacing w:after="0"/>
        <w:ind w:left="867" w:hanging="357"/>
        <w:rPr>
          <w:rFonts w:asciiTheme="minorHAnsi" w:hAnsiTheme="minorHAnsi"/>
          <w:lang w:val="en-GB"/>
        </w:rPr>
      </w:pPr>
      <w:r w:rsidRPr="00BD0B61">
        <w:rPr>
          <w:rFonts w:asciiTheme="minorHAnsi" w:hAnsiTheme="minorHAnsi"/>
          <w:lang w:val="en-GB"/>
        </w:rPr>
        <w:t>In elderly patients, liver and kidney tests should be performed to detect early liver or kidney failure.</w:t>
      </w:r>
    </w:p>
    <w:p w14:paraId="78E1117B" w14:textId="77777777" w:rsidR="004B6755" w:rsidRPr="00BD0B61" w:rsidRDefault="004B6755" w:rsidP="00BD0B61">
      <w:pPr>
        <w:pStyle w:val="Lijstalinea"/>
        <w:numPr>
          <w:ilvl w:val="0"/>
          <w:numId w:val="17"/>
        </w:numPr>
        <w:spacing w:after="0"/>
        <w:ind w:left="867" w:hanging="357"/>
        <w:rPr>
          <w:rFonts w:asciiTheme="minorHAnsi" w:hAnsiTheme="minorHAnsi"/>
          <w:lang w:val="en-GB"/>
        </w:rPr>
      </w:pPr>
      <w:r w:rsidRPr="00BD0B61">
        <w:rPr>
          <w:rFonts w:asciiTheme="minorHAnsi" w:hAnsiTheme="minorHAnsi"/>
          <w:lang w:val="en-GB"/>
        </w:rPr>
        <w:t>Caution is recommended in patients with proven hepatic impairment. It is the same in patients consuming substances inducing liver enzymes (alcohol, barbiturates, anti-epileptics). In these cases, accumulation of the toxic metabolites of paracetamol may aggravate or lead to liver injury. The risk of hepatic toxicity is considerably increased in chronic alcohol abuse. Dosage reduction is therefore required in these patients.</w:t>
      </w:r>
    </w:p>
    <w:p w14:paraId="6D689045" w14:textId="77777777" w:rsidR="004B6755" w:rsidRPr="002B281A" w:rsidRDefault="004B6755" w:rsidP="00CB1330">
      <w:pPr>
        <w:pStyle w:val="Lijstalinea"/>
        <w:numPr>
          <w:ilvl w:val="0"/>
          <w:numId w:val="17"/>
        </w:numPr>
        <w:spacing w:after="0"/>
        <w:ind w:left="867" w:hanging="357"/>
        <w:rPr>
          <w:rFonts w:asciiTheme="minorHAnsi" w:hAnsiTheme="minorHAnsi"/>
          <w:sz w:val="22"/>
          <w:szCs w:val="22"/>
          <w:lang w:val="en-GB"/>
        </w:rPr>
      </w:pPr>
      <w:r w:rsidRPr="00BD0B61">
        <w:rPr>
          <w:rFonts w:asciiTheme="minorHAnsi" w:hAnsiTheme="minorHAnsi"/>
          <w:lang w:val="en-GB"/>
        </w:rPr>
        <w:t>Special caution and adherence to the recommended dosage are essential in epileptic children treated with barbiturates, phenytoin, carbamazepine or lamotrigine</w:t>
      </w:r>
      <w:r w:rsidRPr="002B281A">
        <w:rPr>
          <w:rFonts w:asciiTheme="minorHAnsi" w:hAnsiTheme="minorHAnsi"/>
          <w:sz w:val="22"/>
          <w:szCs w:val="22"/>
          <w:lang w:val="en-GB"/>
        </w:rPr>
        <w:t>.</w:t>
      </w:r>
    </w:p>
    <w:p w14:paraId="5F73992E" w14:textId="77777777" w:rsidR="00DF12E3" w:rsidRPr="00205FA1" w:rsidRDefault="00DF12E3" w:rsidP="00DF12E3">
      <w:pPr>
        <w:pStyle w:val="Lijstalinea"/>
        <w:spacing w:after="0"/>
        <w:ind w:left="426"/>
        <w:rPr>
          <w:rFonts w:asciiTheme="minorHAnsi" w:hAnsiTheme="minorHAnsi"/>
        </w:rPr>
      </w:pPr>
    </w:p>
    <w:p w14:paraId="70C86C20" w14:textId="77777777" w:rsidR="007970DD" w:rsidRPr="00FF5E52" w:rsidRDefault="009B0007" w:rsidP="00F26321">
      <w:pPr>
        <w:spacing w:after="0"/>
        <w:ind w:left="426"/>
        <w:rPr>
          <w:rFonts w:asciiTheme="minorHAnsi" w:hAnsiTheme="minorHAnsi"/>
          <w:b/>
        </w:rPr>
      </w:pPr>
      <w:r w:rsidRPr="00FF5E52">
        <w:rPr>
          <w:rFonts w:asciiTheme="minorHAnsi" w:hAnsiTheme="minorHAnsi"/>
          <w:b/>
        </w:rPr>
        <w:t xml:space="preserve">4.4.2 </w:t>
      </w:r>
      <w:r w:rsidR="007970DD" w:rsidRPr="00FF5E52">
        <w:rPr>
          <w:rFonts w:asciiTheme="minorHAnsi" w:hAnsiTheme="minorHAnsi"/>
          <w:b/>
        </w:rPr>
        <w:t>Pediatric population</w:t>
      </w:r>
    </w:p>
    <w:p w14:paraId="53E8EF7A" w14:textId="77777777" w:rsidR="007970DD" w:rsidRPr="00205FA1" w:rsidRDefault="007970DD" w:rsidP="00F26321">
      <w:pPr>
        <w:pStyle w:val="Lijstalinea"/>
        <w:spacing w:after="0"/>
        <w:ind w:left="426"/>
        <w:rPr>
          <w:rFonts w:asciiTheme="minorHAnsi" w:hAnsiTheme="minorHAnsi"/>
        </w:rPr>
      </w:pPr>
    </w:p>
    <w:p w14:paraId="2A37EBDF" w14:textId="77777777" w:rsidR="0020747E" w:rsidRPr="00205FA1" w:rsidRDefault="0020747E" w:rsidP="0020747E">
      <w:pPr>
        <w:pStyle w:val="Lijstalinea"/>
        <w:spacing w:after="0"/>
        <w:ind w:left="426"/>
        <w:rPr>
          <w:rFonts w:asciiTheme="minorHAnsi" w:hAnsiTheme="minorHAnsi"/>
        </w:rPr>
      </w:pPr>
      <w:r w:rsidRPr="00205FA1">
        <w:rPr>
          <w:rFonts w:asciiTheme="minorHAnsi" w:hAnsiTheme="minorHAnsi"/>
        </w:rPr>
        <w:t>Rhino</w:t>
      </w:r>
      <w:r w:rsidR="00CB1330">
        <w:rPr>
          <w:rFonts w:asciiTheme="minorHAnsi" w:hAnsiTheme="minorHAnsi"/>
        </w:rPr>
        <w:t>P</w:t>
      </w:r>
      <w:r w:rsidRPr="00205FA1">
        <w:rPr>
          <w:rFonts w:asciiTheme="minorHAnsi" w:hAnsiTheme="minorHAnsi"/>
        </w:rPr>
        <w:t>arol is contra-indicated under the age of 12 years</w:t>
      </w:r>
      <w:r w:rsidR="00CB1330">
        <w:rPr>
          <w:rFonts w:asciiTheme="minorHAnsi" w:hAnsiTheme="minorHAnsi"/>
        </w:rPr>
        <w:t>.</w:t>
      </w:r>
    </w:p>
    <w:p w14:paraId="3E60879A" w14:textId="77777777" w:rsidR="0020747E" w:rsidRPr="00205FA1" w:rsidRDefault="0020747E" w:rsidP="00F26321">
      <w:pPr>
        <w:pStyle w:val="Lijstalinea"/>
        <w:spacing w:after="0"/>
        <w:ind w:left="426"/>
        <w:rPr>
          <w:rFonts w:asciiTheme="minorHAnsi" w:hAnsiTheme="minorHAnsi"/>
        </w:rPr>
      </w:pPr>
    </w:p>
    <w:p w14:paraId="183F04A0" w14:textId="77777777" w:rsidR="00AE30FE" w:rsidRPr="00FF5E52" w:rsidRDefault="009B0007" w:rsidP="00F26321">
      <w:pPr>
        <w:spacing w:after="0"/>
        <w:ind w:left="426"/>
        <w:rPr>
          <w:rFonts w:asciiTheme="minorHAnsi" w:hAnsiTheme="minorHAnsi"/>
          <w:b/>
        </w:rPr>
      </w:pPr>
      <w:r w:rsidRPr="00FF5E52">
        <w:rPr>
          <w:rFonts w:asciiTheme="minorHAnsi" w:hAnsiTheme="minorHAnsi"/>
          <w:b/>
        </w:rPr>
        <w:t xml:space="preserve">4.5 </w:t>
      </w:r>
      <w:r w:rsidR="00AE30FE" w:rsidRPr="00FF5E52">
        <w:rPr>
          <w:rFonts w:asciiTheme="minorHAnsi" w:hAnsiTheme="minorHAnsi"/>
          <w:b/>
        </w:rPr>
        <w:t>Interactions with other medicinal products and other forms of interactions</w:t>
      </w:r>
    </w:p>
    <w:p w14:paraId="44A13442" w14:textId="77777777" w:rsidR="00FD40F1" w:rsidRPr="00FF5E52" w:rsidRDefault="00FD40F1" w:rsidP="00F26321">
      <w:pPr>
        <w:spacing w:after="0"/>
        <w:ind w:left="426"/>
        <w:rPr>
          <w:rFonts w:asciiTheme="minorHAnsi" w:hAnsiTheme="minorHAnsi"/>
          <w:b/>
        </w:rPr>
      </w:pPr>
    </w:p>
    <w:p w14:paraId="775EA269" w14:textId="77777777" w:rsidR="00792744" w:rsidRPr="00FF5E52" w:rsidRDefault="009B0007" w:rsidP="00F26321">
      <w:pPr>
        <w:spacing w:after="0"/>
        <w:ind w:left="426"/>
        <w:rPr>
          <w:rFonts w:asciiTheme="minorHAnsi" w:hAnsiTheme="minorHAnsi"/>
          <w:b/>
        </w:rPr>
      </w:pPr>
      <w:r w:rsidRPr="00FF5E52">
        <w:rPr>
          <w:rFonts w:asciiTheme="minorHAnsi" w:hAnsiTheme="minorHAnsi"/>
          <w:b/>
        </w:rPr>
        <w:t xml:space="preserve">4.5.1 </w:t>
      </w:r>
      <w:r w:rsidR="00792744" w:rsidRPr="00FF5E52">
        <w:rPr>
          <w:rFonts w:asciiTheme="minorHAnsi" w:hAnsiTheme="minorHAnsi"/>
          <w:b/>
        </w:rPr>
        <w:t>General information</w:t>
      </w:r>
    </w:p>
    <w:p w14:paraId="04899F91" w14:textId="77777777" w:rsidR="004B6755" w:rsidRDefault="004B6755" w:rsidP="004B6755">
      <w:pPr>
        <w:pStyle w:val="Lijstalinea"/>
        <w:spacing w:after="0"/>
        <w:ind w:left="426"/>
        <w:rPr>
          <w:rFonts w:asciiTheme="minorHAnsi" w:hAnsiTheme="minorHAnsi"/>
          <w:lang w:val="nl-BE"/>
        </w:rPr>
      </w:pPr>
    </w:p>
    <w:p w14:paraId="2EBB363F" w14:textId="77777777" w:rsidR="004B6755" w:rsidRPr="004B6755" w:rsidRDefault="004B6755" w:rsidP="004B6755">
      <w:pPr>
        <w:pStyle w:val="Lijstalinea"/>
        <w:numPr>
          <w:ilvl w:val="0"/>
          <w:numId w:val="18"/>
        </w:numPr>
        <w:spacing w:after="0"/>
        <w:rPr>
          <w:rFonts w:asciiTheme="minorHAnsi" w:hAnsiTheme="minorHAnsi"/>
          <w:lang w:val="en-GB"/>
        </w:rPr>
      </w:pPr>
      <w:r w:rsidRPr="004B6755">
        <w:rPr>
          <w:rFonts w:asciiTheme="minorHAnsi" w:hAnsiTheme="minorHAnsi"/>
          <w:lang w:val="en-GB"/>
        </w:rPr>
        <w:t>The risk of hepatotoxicity associated with paracetamol may be increased in case of chronic alcoholism and in patients taking hepatotoxic drugs.</w:t>
      </w:r>
    </w:p>
    <w:p w14:paraId="5F1CEE0B" w14:textId="77777777" w:rsidR="004B6755" w:rsidRPr="004B6755" w:rsidRDefault="004B6755" w:rsidP="004B6755">
      <w:pPr>
        <w:pStyle w:val="Lijstalinea"/>
        <w:numPr>
          <w:ilvl w:val="0"/>
          <w:numId w:val="18"/>
        </w:numPr>
        <w:spacing w:after="0"/>
        <w:rPr>
          <w:rFonts w:asciiTheme="minorHAnsi" w:hAnsiTheme="minorHAnsi"/>
          <w:lang w:val="en-GB"/>
        </w:rPr>
      </w:pPr>
      <w:r w:rsidRPr="004B6755">
        <w:rPr>
          <w:rFonts w:asciiTheme="minorHAnsi" w:hAnsiTheme="minorHAnsi"/>
          <w:lang w:val="en-GB"/>
        </w:rPr>
        <w:t xml:space="preserve">Potentiation of central nervous system depressants: hypnotics, </w:t>
      </w:r>
      <w:r w:rsidR="000254FC" w:rsidRPr="004B6755">
        <w:rPr>
          <w:rFonts w:asciiTheme="minorHAnsi" w:hAnsiTheme="minorHAnsi"/>
          <w:lang w:val="en-GB"/>
        </w:rPr>
        <w:t>anaesthetics</w:t>
      </w:r>
      <w:r w:rsidRPr="004B6755">
        <w:rPr>
          <w:rFonts w:asciiTheme="minorHAnsi" w:hAnsiTheme="minorHAnsi"/>
          <w:lang w:val="en-GB"/>
        </w:rPr>
        <w:t>, sedatives, alcohol</w:t>
      </w:r>
      <w:r w:rsidR="008A2274">
        <w:rPr>
          <w:rFonts w:asciiTheme="minorHAnsi" w:hAnsiTheme="minorHAnsi"/>
          <w:lang w:val="en-GB"/>
        </w:rPr>
        <w:t>.</w:t>
      </w:r>
    </w:p>
    <w:p w14:paraId="73E5100F" w14:textId="77777777" w:rsidR="004B6755" w:rsidRPr="004B6755" w:rsidRDefault="004B6755" w:rsidP="004B6755">
      <w:pPr>
        <w:pStyle w:val="Lijstalinea"/>
        <w:numPr>
          <w:ilvl w:val="0"/>
          <w:numId w:val="18"/>
        </w:numPr>
        <w:spacing w:after="0"/>
        <w:rPr>
          <w:rFonts w:asciiTheme="minorHAnsi" w:hAnsiTheme="minorHAnsi"/>
          <w:lang w:val="en-GB"/>
        </w:rPr>
      </w:pPr>
      <w:r w:rsidRPr="004B6755">
        <w:rPr>
          <w:rFonts w:asciiTheme="minorHAnsi" w:hAnsiTheme="minorHAnsi"/>
          <w:lang w:val="en-GB"/>
        </w:rPr>
        <w:t>Alcohol, sedatives, tranquilizers and hypnotics may enhance the sedative effect of chlorphenamine.</w:t>
      </w:r>
    </w:p>
    <w:p w14:paraId="35A5F727" w14:textId="77777777" w:rsidR="004B6755" w:rsidRPr="004B6755" w:rsidRDefault="004B6755" w:rsidP="004B6755">
      <w:pPr>
        <w:pStyle w:val="Lijstalinea"/>
        <w:numPr>
          <w:ilvl w:val="0"/>
          <w:numId w:val="18"/>
        </w:numPr>
        <w:spacing w:after="0"/>
        <w:rPr>
          <w:rFonts w:asciiTheme="minorHAnsi" w:hAnsiTheme="minorHAnsi"/>
          <w:lang w:val="en-GB"/>
        </w:rPr>
      </w:pPr>
      <w:r w:rsidRPr="004B6755">
        <w:rPr>
          <w:rFonts w:asciiTheme="minorHAnsi" w:hAnsiTheme="minorHAnsi"/>
          <w:lang w:val="en-GB"/>
        </w:rPr>
        <w:t>Potentiation of central atropine effects in combination with other anticholinergic agents: antihistamines, imipramine antidepressants, phenothiazine neuroleptics, antiparkinsonian, anticholinergic, atropinic antispasmodic, disopyramide.</w:t>
      </w:r>
    </w:p>
    <w:p w14:paraId="3B0755A1" w14:textId="77777777" w:rsidR="00B3775E" w:rsidRDefault="004B6755" w:rsidP="004B6755">
      <w:pPr>
        <w:pStyle w:val="Lijstalinea"/>
        <w:numPr>
          <w:ilvl w:val="0"/>
          <w:numId w:val="18"/>
        </w:numPr>
        <w:spacing w:after="0"/>
        <w:rPr>
          <w:rFonts w:asciiTheme="minorHAnsi" w:hAnsiTheme="minorHAnsi"/>
          <w:lang w:val="en-GB"/>
        </w:rPr>
      </w:pPr>
      <w:r w:rsidRPr="004B6755">
        <w:rPr>
          <w:rFonts w:asciiTheme="minorHAnsi" w:hAnsiTheme="minorHAnsi"/>
          <w:lang w:val="en-GB"/>
        </w:rPr>
        <w:t>The action of β-blockers can be reduced by antihistamines.</w:t>
      </w:r>
    </w:p>
    <w:p w14:paraId="236CDFC0" w14:textId="77777777" w:rsidR="005E152F" w:rsidRPr="005E152F" w:rsidRDefault="005E152F" w:rsidP="004B6755">
      <w:pPr>
        <w:pStyle w:val="Lijstalinea"/>
        <w:numPr>
          <w:ilvl w:val="0"/>
          <w:numId w:val="18"/>
        </w:numPr>
        <w:spacing w:after="0"/>
        <w:rPr>
          <w:rFonts w:asciiTheme="minorHAnsi" w:hAnsiTheme="minorHAnsi" w:cstheme="minorHAnsi"/>
          <w:lang w:val="en-GB"/>
        </w:rPr>
      </w:pPr>
      <w:r w:rsidRPr="005E152F">
        <w:rPr>
          <w:rFonts w:asciiTheme="minorHAnsi" w:hAnsiTheme="minorHAnsi" w:cstheme="minorHAnsi"/>
          <w:iCs/>
        </w:rPr>
        <w:t>Laboratory test interactions</w:t>
      </w:r>
      <w:r w:rsidRPr="005E152F">
        <w:rPr>
          <w:rFonts w:asciiTheme="minorHAnsi" w:hAnsiTheme="minorHAnsi" w:cstheme="minorHAnsi"/>
          <w:i/>
          <w:iCs/>
        </w:rPr>
        <w:t xml:space="preserve">: </w:t>
      </w:r>
    </w:p>
    <w:p w14:paraId="22D08F8F" w14:textId="77777777" w:rsidR="005E152F" w:rsidRPr="005E152F" w:rsidRDefault="005E152F" w:rsidP="005E152F">
      <w:pPr>
        <w:pStyle w:val="Lijstalinea"/>
        <w:spacing w:after="0"/>
        <w:ind w:left="786"/>
        <w:rPr>
          <w:rFonts w:asciiTheme="minorHAnsi" w:hAnsiTheme="minorHAnsi" w:cstheme="minorHAnsi"/>
          <w:lang w:val="en-GB"/>
        </w:rPr>
      </w:pPr>
      <w:r w:rsidRPr="005E152F">
        <w:rPr>
          <w:rFonts w:asciiTheme="minorHAnsi" w:hAnsiTheme="minorHAnsi" w:cstheme="minorHAnsi"/>
        </w:rPr>
        <w:t>Blood glucose determination: glucose oxidase/peroxidase method may give falsely decreased values. Hexokinase/glucose 6-phosphate dehydrogenase method gives true values. Serum uric acid: may appear falsely elevated by phosphotungstate method. The results of bentiromide test are invalid, because both paracetamol and bentiromide are metabolised to an arylamine compound which interferes with p-aminobenzoic acid determination. Quantitative urinary 5-hydroxyindol acetic acid (5-HIAA) test using nitroso naphthol reagent may give false positive result. Quantitative test is not affected. Chlorpheniramine may interfere with skin allergy testing with histamine causing falsely negative results. RhinoParol® should be discontinued at least 72 hours prior to testing</w:t>
      </w:r>
      <w:r>
        <w:rPr>
          <w:rFonts w:asciiTheme="minorHAnsi" w:hAnsiTheme="minorHAnsi" w:cstheme="minorHAnsi"/>
        </w:rPr>
        <w:t>.</w:t>
      </w:r>
    </w:p>
    <w:p w14:paraId="36202D61" w14:textId="77777777" w:rsidR="004B6755" w:rsidRPr="00205FA1" w:rsidRDefault="004B6755" w:rsidP="004B6755">
      <w:pPr>
        <w:pStyle w:val="Lijstalinea"/>
        <w:spacing w:after="0"/>
        <w:ind w:left="426"/>
        <w:rPr>
          <w:rFonts w:asciiTheme="minorHAnsi" w:hAnsiTheme="minorHAnsi"/>
        </w:rPr>
      </w:pPr>
    </w:p>
    <w:p w14:paraId="0B79A035" w14:textId="77777777" w:rsidR="00792744" w:rsidRPr="00FF5E52" w:rsidRDefault="009B0007" w:rsidP="00F26321">
      <w:pPr>
        <w:spacing w:after="0"/>
        <w:ind w:left="426"/>
        <w:rPr>
          <w:rFonts w:asciiTheme="minorHAnsi" w:hAnsiTheme="minorHAnsi"/>
          <w:b/>
        </w:rPr>
      </w:pPr>
      <w:r w:rsidRPr="00FF5E52">
        <w:rPr>
          <w:rFonts w:asciiTheme="minorHAnsi" w:hAnsiTheme="minorHAnsi"/>
          <w:b/>
        </w:rPr>
        <w:t xml:space="preserve">4.5.2 </w:t>
      </w:r>
      <w:r w:rsidR="00792744" w:rsidRPr="00FF5E52">
        <w:rPr>
          <w:rFonts w:asciiTheme="minorHAnsi" w:hAnsiTheme="minorHAnsi"/>
          <w:b/>
        </w:rPr>
        <w:t>Additional information on special populations</w:t>
      </w:r>
    </w:p>
    <w:p w14:paraId="5403CD0C" w14:textId="77777777" w:rsidR="00B3775E" w:rsidRPr="00205FA1" w:rsidRDefault="00B3775E" w:rsidP="00F26321">
      <w:pPr>
        <w:pStyle w:val="Lijstalinea"/>
        <w:spacing w:after="0"/>
        <w:ind w:left="426"/>
        <w:rPr>
          <w:rFonts w:asciiTheme="minorHAnsi" w:hAnsiTheme="minorHAnsi"/>
        </w:rPr>
      </w:pPr>
    </w:p>
    <w:p w14:paraId="30DE1D40" w14:textId="77777777" w:rsidR="008A2274" w:rsidRPr="008A2274" w:rsidRDefault="008A2274" w:rsidP="008A2274">
      <w:pPr>
        <w:spacing w:after="0"/>
        <w:ind w:left="567"/>
        <w:rPr>
          <w:rFonts w:asciiTheme="minorHAnsi" w:hAnsiTheme="minorHAnsi"/>
          <w:lang w:val="en-GB"/>
        </w:rPr>
      </w:pPr>
      <w:r w:rsidRPr="008A2274">
        <w:rPr>
          <w:rFonts w:asciiTheme="minorHAnsi" w:hAnsiTheme="minorHAnsi"/>
          <w:lang w:val="en-GB"/>
        </w:rPr>
        <w:t>Monoamineoxidase inhibitors, tricyclic antidepressants and guanethidine potentiate the hypertensive effect of phenylephrine. Rhino</w:t>
      </w:r>
      <w:r w:rsidR="000254FC">
        <w:rPr>
          <w:rFonts w:asciiTheme="minorHAnsi" w:hAnsiTheme="minorHAnsi"/>
          <w:lang w:val="en-GB"/>
        </w:rPr>
        <w:t>P</w:t>
      </w:r>
      <w:r w:rsidRPr="008A2274">
        <w:rPr>
          <w:rFonts w:asciiTheme="minorHAnsi" w:hAnsiTheme="minorHAnsi"/>
          <w:lang w:val="en-GB"/>
        </w:rPr>
        <w:t xml:space="preserve">arol </w:t>
      </w:r>
      <w:r w:rsidR="000254FC" w:rsidRPr="008A2274">
        <w:rPr>
          <w:rFonts w:asciiTheme="minorHAnsi" w:hAnsiTheme="minorHAnsi"/>
          <w:lang w:val="en-GB"/>
        </w:rPr>
        <w:t>cannot</w:t>
      </w:r>
      <w:r w:rsidRPr="008A2274">
        <w:rPr>
          <w:rFonts w:asciiTheme="minorHAnsi" w:hAnsiTheme="minorHAnsi"/>
          <w:lang w:val="en-GB"/>
        </w:rPr>
        <w:t xml:space="preserve"> be used during treatment and for 2 weeks after discontinuation of </w:t>
      </w:r>
      <w:r w:rsidR="000254FC" w:rsidRPr="008A2274">
        <w:rPr>
          <w:rFonts w:asciiTheme="minorHAnsi" w:hAnsiTheme="minorHAnsi"/>
          <w:lang w:val="en-GB"/>
        </w:rPr>
        <w:t>monoaminoxidase</w:t>
      </w:r>
      <w:r w:rsidRPr="008A2274">
        <w:rPr>
          <w:rFonts w:asciiTheme="minorHAnsi" w:hAnsiTheme="minorHAnsi"/>
          <w:lang w:val="en-GB"/>
        </w:rPr>
        <w:t xml:space="preserve"> inhibitor therapy.</w:t>
      </w:r>
    </w:p>
    <w:p w14:paraId="5414FC90" w14:textId="77777777" w:rsidR="008A2274" w:rsidRPr="000254FC" w:rsidRDefault="008A2274" w:rsidP="00BD0B61">
      <w:pPr>
        <w:pStyle w:val="Lijstalinea"/>
        <w:spacing w:after="0"/>
        <w:ind w:left="284"/>
        <w:rPr>
          <w:rFonts w:asciiTheme="minorHAnsi" w:hAnsiTheme="minorHAnsi"/>
          <w:lang w:val="en-GB"/>
        </w:rPr>
      </w:pPr>
    </w:p>
    <w:p w14:paraId="4429F1C2" w14:textId="77777777" w:rsidR="00792744" w:rsidRPr="00FF5E52" w:rsidRDefault="009B0007" w:rsidP="00F26321">
      <w:pPr>
        <w:spacing w:after="0"/>
        <w:ind w:left="426"/>
        <w:rPr>
          <w:rFonts w:asciiTheme="minorHAnsi" w:hAnsiTheme="minorHAnsi"/>
          <w:b/>
        </w:rPr>
      </w:pPr>
      <w:r w:rsidRPr="00FF5E52">
        <w:rPr>
          <w:rFonts w:asciiTheme="minorHAnsi" w:hAnsiTheme="minorHAnsi"/>
          <w:b/>
        </w:rPr>
        <w:t xml:space="preserve">4.5.3 </w:t>
      </w:r>
      <w:r w:rsidR="00792744" w:rsidRPr="00FF5E52">
        <w:rPr>
          <w:rFonts w:asciiTheme="minorHAnsi" w:hAnsiTheme="minorHAnsi"/>
          <w:b/>
        </w:rPr>
        <w:t>Pediatric population</w:t>
      </w:r>
    </w:p>
    <w:p w14:paraId="182C8A54" w14:textId="77777777" w:rsidR="0020747E" w:rsidRPr="00205FA1" w:rsidRDefault="0020747E" w:rsidP="008A2274">
      <w:pPr>
        <w:pStyle w:val="Lijstalinea"/>
        <w:spacing w:after="0"/>
        <w:ind w:left="426"/>
        <w:rPr>
          <w:rFonts w:asciiTheme="minorHAnsi" w:hAnsiTheme="minorHAnsi"/>
        </w:rPr>
      </w:pPr>
    </w:p>
    <w:p w14:paraId="7FC36CBD" w14:textId="77777777" w:rsidR="008A2274" w:rsidRPr="00205FA1" w:rsidRDefault="008A2274" w:rsidP="008A2274">
      <w:pPr>
        <w:pStyle w:val="Lijstalinea"/>
        <w:spacing w:after="0"/>
        <w:ind w:left="426"/>
        <w:rPr>
          <w:rFonts w:asciiTheme="minorHAnsi" w:hAnsiTheme="minorHAnsi"/>
        </w:rPr>
      </w:pPr>
      <w:r w:rsidRPr="00205FA1">
        <w:rPr>
          <w:rFonts w:asciiTheme="minorHAnsi" w:hAnsiTheme="minorHAnsi"/>
        </w:rPr>
        <w:t>Rhino</w:t>
      </w:r>
      <w:r w:rsidR="000254FC">
        <w:rPr>
          <w:rFonts w:asciiTheme="minorHAnsi" w:hAnsiTheme="minorHAnsi"/>
        </w:rPr>
        <w:t>P</w:t>
      </w:r>
      <w:r w:rsidRPr="00205FA1">
        <w:rPr>
          <w:rFonts w:asciiTheme="minorHAnsi" w:hAnsiTheme="minorHAnsi"/>
        </w:rPr>
        <w:t>arol is contra-indicated under the age of 12 years</w:t>
      </w:r>
    </w:p>
    <w:p w14:paraId="072F7FA8" w14:textId="77777777" w:rsidR="00B3775E" w:rsidRPr="00205FA1" w:rsidRDefault="00B3775E" w:rsidP="00F26321">
      <w:pPr>
        <w:pStyle w:val="Lijstalinea"/>
        <w:spacing w:after="0"/>
        <w:ind w:left="426"/>
        <w:rPr>
          <w:rFonts w:asciiTheme="minorHAnsi" w:hAnsiTheme="minorHAnsi"/>
        </w:rPr>
      </w:pPr>
    </w:p>
    <w:p w14:paraId="44410036" w14:textId="77777777" w:rsidR="00AE30FE" w:rsidRPr="00FF5E52" w:rsidRDefault="009B0007" w:rsidP="00F26321">
      <w:pPr>
        <w:spacing w:after="0"/>
        <w:ind w:left="426"/>
        <w:rPr>
          <w:rFonts w:asciiTheme="minorHAnsi" w:hAnsiTheme="minorHAnsi"/>
          <w:b/>
        </w:rPr>
      </w:pPr>
      <w:r w:rsidRPr="00FF5E52">
        <w:rPr>
          <w:rFonts w:asciiTheme="minorHAnsi" w:hAnsiTheme="minorHAnsi"/>
          <w:b/>
        </w:rPr>
        <w:t xml:space="preserve">4.6 </w:t>
      </w:r>
      <w:r w:rsidR="00AE30FE" w:rsidRPr="00FF5E52">
        <w:rPr>
          <w:rFonts w:asciiTheme="minorHAnsi" w:hAnsiTheme="minorHAnsi"/>
          <w:b/>
        </w:rPr>
        <w:t>Fertility, pregnancy and lactation</w:t>
      </w:r>
    </w:p>
    <w:p w14:paraId="0CB1E998" w14:textId="77777777" w:rsidR="00FD40F1" w:rsidRPr="00FF5E52" w:rsidRDefault="00FD40F1" w:rsidP="00F26321">
      <w:pPr>
        <w:spacing w:after="0"/>
        <w:ind w:left="426"/>
        <w:rPr>
          <w:rFonts w:asciiTheme="minorHAnsi" w:hAnsiTheme="minorHAnsi"/>
          <w:b/>
        </w:rPr>
      </w:pPr>
    </w:p>
    <w:p w14:paraId="205B14C2" w14:textId="77777777" w:rsidR="00DC4881" w:rsidRPr="00FF5E52" w:rsidRDefault="009B0007" w:rsidP="00F26321">
      <w:pPr>
        <w:spacing w:after="0"/>
        <w:ind w:left="426"/>
        <w:rPr>
          <w:rFonts w:asciiTheme="minorHAnsi" w:hAnsiTheme="minorHAnsi"/>
          <w:b/>
        </w:rPr>
      </w:pPr>
      <w:r w:rsidRPr="00FF5E52">
        <w:rPr>
          <w:rFonts w:asciiTheme="minorHAnsi" w:hAnsiTheme="minorHAnsi"/>
          <w:b/>
        </w:rPr>
        <w:t xml:space="preserve">4.6.1 </w:t>
      </w:r>
      <w:r w:rsidR="00DC4881" w:rsidRPr="00FF5E52">
        <w:rPr>
          <w:rFonts w:asciiTheme="minorHAnsi" w:hAnsiTheme="minorHAnsi"/>
          <w:b/>
        </w:rPr>
        <w:t>Pregnancy</w:t>
      </w:r>
    </w:p>
    <w:p w14:paraId="61381437" w14:textId="77777777" w:rsidR="0020747E" w:rsidRPr="0020747E" w:rsidRDefault="0020747E" w:rsidP="00F26321">
      <w:pPr>
        <w:spacing w:after="0"/>
        <w:ind w:left="426"/>
        <w:rPr>
          <w:rFonts w:asciiTheme="minorHAnsi" w:hAnsiTheme="minorHAnsi"/>
        </w:rPr>
      </w:pPr>
    </w:p>
    <w:p w14:paraId="3F6C7598" w14:textId="77777777" w:rsidR="0020747E" w:rsidRPr="0020747E" w:rsidRDefault="00DB004F" w:rsidP="00F26321">
      <w:pPr>
        <w:spacing w:after="0"/>
        <w:ind w:left="426"/>
        <w:rPr>
          <w:rFonts w:asciiTheme="minorHAnsi" w:hAnsiTheme="minorHAnsi"/>
        </w:rPr>
      </w:pPr>
      <w:r w:rsidRPr="00DB004F">
        <w:rPr>
          <w:rFonts w:asciiTheme="minorHAnsi" w:hAnsiTheme="minorHAnsi"/>
        </w:rPr>
        <w:t xml:space="preserve">There are no data from the use of </w:t>
      </w:r>
      <w:r>
        <w:rPr>
          <w:rFonts w:asciiTheme="minorHAnsi" w:hAnsiTheme="minorHAnsi"/>
        </w:rPr>
        <w:t xml:space="preserve">the product </w:t>
      </w:r>
      <w:r w:rsidRPr="00DB004F">
        <w:rPr>
          <w:rFonts w:asciiTheme="minorHAnsi" w:hAnsiTheme="minorHAnsi"/>
        </w:rPr>
        <w:t>in pregnant women</w:t>
      </w:r>
      <w:r w:rsidRPr="0020747E">
        <w:rPr>
          <w:rFonts w:asciiTheme="minorHAnsi" w:hAnsiTheme="minorHAnsi"/>
        </w:rPr>
        <w:t xml:space="preserve"> </w:t>
      </w:r>
      <w:r>
        <w:rPr>
          <w:rFonts w:asciiTheme="minorHAnsi" w:hAnsiTheme="minorHAnsi"/>
        </w:rPr>
        <w:t>. A</w:t>
      </w:r>
      <w:r w:rsidR="0020747E" w:rsidRPr="0020747E">
        <w:rPr>
          <w:rFonts w:asciiTheme="minorHAnsi" w:hAnsiTheme="minorHAnsi"/>
        </w:rPr>
        <w:t>s a precautionary measure</w:t>
      </w:r>
      <w:r w:rsidR="0020747E">
        <w:rPr>
          <w:rFonts w:asciiTheme="minorHAnsi" w:hAnsiTheme="minorHAnsi"/>
        </w:rPr>
        <w:t xml:space="preserve"> Rhino</w:t>
      </w:r>
      <w:r w:rsidR="00AA1E66">
        <w:rPr>
          <w:rFonts w:asciiTheme="minorHAnsi" w:hAnsiTheme="minorHAnsi"/>
        </w:rPr>
        <w:t>P</w:t>
      </w:r>
      <w:r w:rsidR="0020747E">
        <w:rPr>
          <w:rFonts w:asciiTheme="minorHAnsi" w:hAnsiTheme="minorHAnsi"/>
        </w:rPr>
        <w:t xml:space="preserve">arol cannot be </w:t>
      </w:r>
      <w:r w:rsidR="0020747E" w:rsidRPr="0020747E">
        <w:rPr>
          <w:rFonts w:asciiTheme="minorHAnsi" w:hAnsiTheme="minorHAnsi"/>
        </w:rPr>
        <w:t>administered to pregnant women.</w:t>
      </w:r>
    </w:p>
    <w:p w14:paraId="3EE82C79" w14:textId="77777777" w:rsidR="0020747E" w:rsidRPr="0020747E" w:rsidRDefault="0020747E" w:rsidP="00F26321">
      <w:pPr>
        <w:spacing w:after="0"/>
        <w:ind w:left="426"/>
        <w:rPr>
          <w:rFonts w:asciiTheme="minorHAnsi" w:hAnsiTheme="minorHAnsi"/>
        </w:rPr>
      </w:pPr>
    </w:p>
    <w:p w14:paraId="6BFEF924" w14:textId="77777777" w:rsidR="00DC4881" w:rsidRPr="00052A9D" w:rsidRDefault="009B0007" w:rsidP="00F26321">
      <w:pPr>
        <w:spacing w:after="0"/>
        <w:ind w:left="426"/>
        <w:rPr>
          <w:rFonts w:asciiTheme="minorHAnsi" w:hAnsiTheme="minorHAnsi"/>
          <w:b/>
          <w:lang w:val="en-GB"/>
        </w:rPr>
      </w:pPr>
      <w:r w:rsidRPr="00052A9D">
        <w:rPr>
          <w:rFonts w:asciiTheme="minorHAnsi" w:hAnsiTheme="minorHAnsi"/>
          <w:b/>
          <w:lang w:val="en-GB"/>
        </w:rPr>
        <w:t xml:space="preserve">4.6.2 </w:t>
      </w:r>
      <w:r w:rsidR="00DC4881" w:rsidRPr="00052A9D">
        <w:rPr>
          <w:rFonts w:asciiTheme="minorHAnsi" w:hAnsiTheme="minorHAnsi"/>
          <w:b/>
          <w:lang w:val="en-GB"/>
        </w:rPr>
        <w:t>Lactation</w:t>
      </w:r>
    </w:p>
    <w:p w14:paraId="2FA8DC74" w14:textId="77777777" w:rsidR="00DC4881" w:rsidRDefault="00DB004F" w:rsidP="00F26321">
      <w:pPr>
        <w:pStyle w:val="Lijstalinea"/>
        <w:spacing w:after="0"/>
        <w:ind w:left="426"/>
        <w:rPr>
          <w:rFonts w:asciiTheme="minorHAnsi" w:hAnsiTheme="minorHAnsi"/>
          <w:lang w:val="en-GB"/>
        </w:rPr>
      </w:pPr>
      <w:r>
        <w:rPr>
          <w:rFonts w:asciiTheme="minorHAnsi" w:hAnsiTheme="minorHAnsi"/>
          <w:lang w:val="en-GB"/>
        </w:rPr>
        <w:t>The a</w:t>
      </w:r>
      <w:r w:rsidR="0020747E" w:rsidRPr="00052A9D">
        <w:rPr>
          <w:rFonts w:asciiTheme="minorHAnsi" w:hAnsiTheme="minorHAnsi"/>
          <w:lang w:val="en-GB"/>
        </w:rPr>
        <w:t>ctive substances in Rhino</w:t>
      </w:r>
      <w:r w:rsidR="00AA1E66">
        <w:rPr>
          <w:rFonts w:asciiTheme="minorHAnsi" w:hAnsiTheme="minorHAnsi"/>
          <w:lang w:val="en-GB"/>
        </w:rPr>
        <w:t>P</w:t>
      </w:r>
      <w:r w:rsidR="0020747E" w:rsidRPr="00052A9D">
        <w:rPr>
          <w:rFonts w:asciiTheme="minorHAnsi" w:hAnsiTheme="minorHAnsi"/>
          <w:lang w:val="en-GB"/>
        </w:rPr>
        <w:t>arol pass into breast milk. Use during the breastfeeding period is not recommended.</w:t>
      </w:r>
    </w:p>
    <w:p w14:paraId="7C1E2A13" w14:textId="77777777" w:rsidR="00AA1E66" w:rsidRPr="00052A9D" w:rsidRDefault="00AA1E66" w:rsidP="00F26321">
      <w:pPr>
        <w:pStyle w:val="Lijstalinea"/>
        <w:spacing w:after="0"/>
        <w:ind w:left="426"/>
        <w:rPr>
          <w:rFonts w:asciiTheme="minorHAnsi" w:hAnsiTheme="minorHAnsi"/>
          <w:lang w:val="en-GB"/>
        </w:rPr>
      </w:pPr>
    </w:p>
    <w:p w14:paraId="2C41163C" w14:textId="77777777" w:rsidR="00DC4881" w:rsidRPr="00052A9D" w:rsidRDefault="009B0007" w:rsidP="00F26321">
      <w:pPr>
        <w:spacing w:after="0"/>
        <w:ind w:left="426"/>
        <w:rPr>
          <w:rFonts w:asciiTheme="minorHAnsi" w:hAnsiTheme="minorHAnsi"/>
          <w:b/>
          <w:lang w:val="en-GB"/>
        </w:rPr>
      </w:pPr>
      <w:r w:rsidRPr="00052A9D">
        <w:rPr>
          <w:rFonts w:asciiTheme="minorHAnsi" w:hAnsiTheme="minorHAnsi"/>
          <w:b/>
          <w:lang w:val="en-GB"/>
        </w:rPr>
        <w:t xml:space="preserve">4.6.3 </w:t>
      </w:r>
      <w:r w:rsidR="00DC4881" w:rsidRPr="00052A9D">
        <w:rPr>
          <w:rFonts w:asciiTheme="minorHAnsi" w:hAnsiTheme="minorHAnsi"/>
          <w:b/>
          <w:lang w:val="en-GB"/>
        </w:rPr>
        <w:t>Fertility</w:t>
      </w:r>
    </w:p>
    <w:p w14:paraId="57FED509" w14:textId="77777777" w:rsidR="00DC4881" w:rsidRDefault="0020747E" w:rsidP="00F26321">
      <w:pPr>
        <w:pStyle w:val="Lijstalinea"/>
        <w:spacing w:after="0"/>
        <w:ind w:left="426"/>
        <w:rPr>
          <w:rFonts w:asciiTheme="minorHAnsi" w:hAnsiTheme="minorHAnsi"/>
          <w:lang w:val="en-GB"/>
        </w:rPr>
      </w:pPr>
      <w:r w:rsidRPr="00052A9D">
        <w:rPr>
          <w:rFonts w:asciiTheme="minorHAnsi" w:hAnsiTheme="minorHAnsi"/>
          <w:lang w:val="en-GB"/>
        </w:rPr>
        <w:t>No data available</w:t>
      </w:r>
    </w:p>
    <w:p w14:paraId="663FA0EB" w14:textId="77777777" w:rsidR="00AA1E66" w:rsidRPr="00052A9D" w:rsidRDefault="00AA1E66" w:rsidP="00F26321">
      <w:pPr>
        <w:pStyle w:val="Lijstalinea"/>
        <w:spacing w:after="0"/>
        <w:ind w:left="426"/>
        <w:rPr>
          <w:rFonts w:asciiTheme="minorHAnsi" w:hAnsiTheme="minorHAnsi"/>
          <w:lang w:val="en-GB"/>
        </w:rPr>
      </w:pPr>
    </w:p>
    <w:p w14:paraId="320D51BB" w14:textId="77777777" w:rsidR="00AE30FE" w:rsidRPr="00052A9D" w:rsidRDefault="009B0007" w:rsidP="00F26321">
      <w:pPr>
        <w:spacing w:after="0"/>
        <w:ind w:left="426"/>
        <w:rPr>
          <w:rFonts w:asciiTheme="minorHAnsi" w:hAnsiTheme="minorHAnsi"/>
          <w:b/>
          <w:lang w:val="en-GB"/>
        </w:rPr>
      </w:pPr>
      <w:r w:rsidRPr="00052A9D">
        <w:rPr>
          <w:rFonts w:asciiTheme="minorHAnsi" w:hAnsiTheme="minorHAnsi"/>
          <w:b/>
          <w:lang w:val="en-GB"/>
        </w:rPr>
        <w:t xml:space="preserve">4.7 </w:t>
      </w:r>
      <w:r w:rsidR="00AE30FE" w:rsidRPr="00052A9D">
        <w:rPr>
          <w:rFonts w:asciiTheme="minorHAnsi" w:hAnsiTheme="minorHAnsi"/>
          <w:b/>
          <w:lang w:val="en-GB"/>
        </w:rPr>
        <w:t>Effects on the ability to drive and use machines</w:t>
      </w:r>
    </w:p>
    <w:p w14:paraId="44053E29" w14:textId="77777777" w:rsidR="00DB004F" w:rsidRDefault="00052A9D" w:rsidP="00052A9D">
      <w:pPr>
        <w:spacing w:after="0"/>
        <w:ind w:left="426"/>
        <w:rPr>
          <w:rFonts w:asciiTheme="minorHAnsi" w:eastAsia="Times New Roman" w:hAnsiTheme="minorHAnsi"/>
          <w:lang w:val="en-GB"/>
        </w:rPr>
      </w:pPr>
      <w:r w:rsidRPr="00052A9D">
        <w:rPr>
          <w:rFonts w:asciiTheme="minorHAnsi" w:eastAsia="Times New Roman" w:hAnsiTheme="minorHAnsi"/>
          <w:lang w:val="en-GB"/>
        </w:rPr>
        <w:t>Rhino</w:t>
      </w:r>
      <w:r w:rsidR="00DB004F">
        <w:rPr>
          <w:rFonts w:asciiTheme="minorHAnsi" w:eastAsia="Times New Roman" w:hAnsiTheme="minorHAnsi"/>
          <w:lang w:val="en-GB"/>
        </w:rPr>
        <w:t>P</w:t>
      </w:r>
      <w:r w:rsidRPr="00052A9D">
        <w:rPr>
          <w:rFonts w:asciiTheme="minorHAnsi" w:eastAsia="Times New Roman" w:hAnsiTheme="minorHAnsi"/>
          <w:lang w:val="en-GB"/>
        </w:rPr>
        <w:t xml:space="preserve">arol may cause drowsiness and difficulty with accommodation. </w:t>
      </w:r>
    </w:p>
    <w:p w14:paraId="182E92D3" w14:textId="77777777" w:rsidR="00052A9D" w:rsidRPr="00052A9D" w:rsidRDefault="00052A9D" w:rsidP="00052A9D">
      <w:pPr>
        <w:spacing w:after="0"/>
        <w:ind w:left="426"/>
        <w:rPr>
          <w:rFonts w:asciiTheme="minorHAnsi" w:eastAsia="Times New Roman" w:hAnsiTheme="minorHAnsi"/>
          <w:lang w:val="en-GB"/>
        </w:rPr>
      </w:pPr>
      <w:r w:rsidRPr="00052A9D">
        <w:rPr>
          <w:rFonts w:asciiTheme="minorHAnsi" w:eastAsia="Times New Roman" w:hAnsiTheme="minorHAnsi"/>
          <w:lang w:val="en-GB"/>
        </w:rPr>
        <w:t>Driving and using machines requires special care.</w:t>
      </w:r>
    </w:p>
    <w:p w14:paraId="4DC359A8" w14:textId="77777777" w:rsidR="00052A9D" w:rsidRDefault="00052A9D" w:rsidP="00052A9D">
      <w:pPr>
        <w:spacing w:after="0"/>
        <w:ind w:left="426"/>
        <w:rPr>
          <w:rFonts w:asciiTheme="minorHAnsi" w:eastAsia="Times New Roman" w:hAnsiTheme="minorHAnsi"/>
          <w:lang w:val="en-GB"/>
        </w:rPr>
      </w:pPr>
      <w:r w:rsidRPr="00052A9D">
        <w:rPr>
          <w:rFonts w:asciiTheme="minorHAnsi" w:eastAsia="Times New Roman" w:hAnsiTheme="minorHAnsi"/>
          <w:lang w:val="en-GB"/>
        </w:rPr>
        <w:t>Alcohol and sedatives further increase the risk of drowsiness.</w:t>
      </w:r>
    </w:p>
    <w:p w14:paraId="5A5353ED" w14:textId="77777777" w:rsidR="00052A9D" w:rsidRDefault="00052A9D" w:rsidP="00052A9D">
      <w:pPr>
        <w:spacing w:after="0"/>
        <w:ind w:left="426"/>
        <w:rPr>
          <w:rFonts w:asciiTheme="minorHAnsi" w:eastAsia="Times New Roman" w:hAnsiTheme="minorHAnsi"/>
          <w:lang w:val="en-GB"/>
        </w:rPr>
      </w:pPr>
    </w:p>
    <w:p w14:paraId="49C79964" w14:textId="77777777" w:rsidR="00AE30FE" w:rsidRPr="00052A9D" w:rsidRDefault="009B0007" w:rsidP="00052A9D">
      <w:pPr>
        <w:spacing w:after="0"/>
        <w:ind w:left="426"/>
        <w:rPr>
          <w:rFonts w:asciiTheme="minorHAnsi" w:hAnsiTheme="minorHAnsi"/>
          <w:b/>
          <w:lang w:val="en-GB"/>
        </w:rPr>
      </w:pPr>
      <w:r w:rsidRPr="00052A9D">
        <w:rPr>
          <w:rFonts w:asciiTheme="minorHAnsi" w:hAnsiTheme="minorHAnsi"/>
          <w:b/>
          <w:lang w:val="en-GB"/>
        </w:rPr>
        <w:t xml:space="preserve">4.8 </w:t>
      </w:r>
      <w:r w:rsidR="00AE30FE" w:rsidRPr="00052A9D">
        <w:rPr>
          <w:rFonts w:asciiTheme="minorHAnsi" w:hAnsiTheme="minorHAnsi"/>
          <w:b/>
          <w:lang w:val="en-GB"/>
        </w:rPr>
        <w:t>Undesirable effects</w:t>
      </w:r>
    </w:p>
    <w:p w14:paraId="0954798F" w14:textId="77777777" w:rsidR="00052A9D" w:rsidRPr="00205FA1" w:rsidRDefault="00052A9D" w:rsidP="00052A9D">
      <w:pPr>
        <w:pStyle w:val="Lijstalinea"/>
        <w:spacing w:after="0"/>
        <w:ind w:left="426"/>
        <w:rPr>
          <w:rFonts w:asciiTheme="minorHAnsi" w:hAnsiTheme="minorHAnsi"/>
        </w:rPr>
      </w:pPr>
    </w:p>
    <w:p w14:paraId="08C80977" w14:textId="77777777" w:rsidR="00365CC8" w:rsidRPr="00365CC8" w:rsidRDefault="00365CC8" w:rsidP="00365CC8">
      <w:pPr>
        <w:pStyle w:val="Lijstalinea"/>
        <w:spacing w:after="0"/>
        <w:ind w:left="426"/>
        <w:rPr>
          <w:rFonts w:asciiTheme="minorHAnsi" w:hAnsiTheme="minorHAnsi"/>
          <w:b/>
          <w:i/>
          <w:lang w:val="en-GB"/>
        </w:rPr>
      </w:pPr>
      <w:r w:rsidRPr="00365CC8">
        <w:rPr>
          <w:rFonts w:asciiTheme="minorHAnsi" w:hAnsiTheme="minorHAnsi"/>
          <w:b/>
          <w:i/>
          <w:lang w:val="en-GB"/>
        </w:rPr>
        <w:t>Related to the presence of paracetamol</w:t>
      </w:r>
    </w:p>
    <w:p w14:paraId="7D1FDBA4" w14:textId="77777777" w:rsidR="00365CC8" w:rsidRPr="007B1BBA" w:rsidRDefault="00365CC8" w:rsidP="00365CC8">
      <w:pPr>
        <w:pStyle w:val="Lijstalinea"/>
        <w:numPr>
          <w:ilvl w:val="0"/>
          <w:numId w:val="19"/>
        </w:numPr>
        <w:spacing w:after="0"/>
        <w:rPr>
          <w:rFonts w:asciiTheme="minorHAnsi" w:hAnsiTheme="minorHAnsi"/>
          <w:lang w:val="en-GB"/>
        </w:rPr>
      </w:pPr>
      <w:r w:rsidRPr="007B1BBA">
        <w:rPr>
          <w:rFonts w:asciiTheme="minorHAnsi" w:hAnsiTheme="minorHAnsi"/>
          <w:lang w:val="en-GB"/>
        </w:rPr>
        <w:t>At therapeutic doses of paracetamol, few side effects occur.</w:t>
      </w:r>
    </w:p>
    <w:p w14:paraId="4A3A125F" w14:textId="77777777" w:rsidR="00365CC8" w:rsidRPr="007B1BBA" w:rsidRDefault="00365CC8" w:rsidP="00365CC8">
      <w:pPr>
        <w:pStyle w:val="Lijstalinea"/>
        <w:numPr>
          <w:ilvl w:val="0"/>
          <w:numId w:val="19"/>
        </w:numPr>
        <w:spacing w:after="0"/>
        <w:rPr>
          <w:rFonts w:asciiTheme="minorHAnsi" w:hAnsiTheme="minorHAnsi"/>
          <w:lang w:val="en-GB"/>
        </w:rPr>
      </w:pPr>
      <w:r w:rsidRPr="007B1BBA">
        <w:rPr>
          <w:rFonts w:asciiTheme="minorHAnsi" w:hAnsiTheme="minorHAnsi"/>
          <w:lang w:val="en-GB"/>
        </w:rPr>
        <w:t>At very high doses, paracetamol may cause significant hepatic cytolysis (see Overdose section 4.9).</w:t>
      </w:r>
    </w:p>
    <w:p w14:paraId="30DFA0A7" w14:textId="77777777" w:rsidR="00365CC8" w:rsidRPr="007B1BBA" w:rsidRDefault="00365CC8" w:rsidP="00365CC8">
      <w:pPr>
        <w:pStyle w:val="Lijstalinea"/>
        <w:numPr>
          <w:ilvl w:val="0"/>
          <w:numId w:val="19"/>
        </w:numPr>
        <w:spacing w:after="0"/>
        <w:rPr>
          <w:rFonts w:asciiTheme="minorHAnsi" w:hAnsiTheme="minorHAnsi"/>
          <w:lang w:val="en-GB"/>
        </w:rPr>
      </w:pPr>
      <w:r w:rsidRPr="007B1BBA">
        <w:rPr>
          <w:rFonts w:asciiTheme="minorHAnsi" w:hAnsiTheme="minorHAnsi"/>
          <w:lang w:val="en-GB"/>
        </w:rPr>
        <w:t>Rare cases of thrombocytopenia have been reported.</w:t>
      </w:r>
    </w:p>
    <w:p w14:paraId="0E22EDDA" w14:textId="77777777" w:rsidR="00365CC8" w:rsidRPr="007B1BBA" w:rsidRDefault="00365CC8" w:rsidP="00365CC8">
      <w:pPr>
        <w:pStyle w:val="Lijstalinea"/>
        <w:numPr>
          <w:ilvl w:val="0"/>
          <w:numId w:val="19"/>
        </w:numPr>
        <w:spacing w:after="0"/>
        <w:rPr>
          <w:rFonts w:asciiTheme="minorHAnsi" w:hAnsiTheme="minorHAnsi"/>
          <w:lang w:val="en-GB"/>
        </w:rPr>
      </w:pPr>
      <w:r w:rsidRPr="007B1BBA">
        <w:rPr>
          <w:rFonts w:asciiTheme="minorHAnsi" w:hAnsiTheme="minorHAnsi"/>
          <w:lang w:val="en-GB"/>
        </w:rPr>
        <w:t xml:space="preserve">Hypersensitivity reactions to paracetamol have been reported: pruritus, rash, sweating, purpura, angioedema, urticaria </w:t>
      </w:r>
      <w:r w:rsidR="0096541D">
        <w:rPr>
          <w:rFonts w:asciiTheme="minorHAnsi" w:hAnsiTheme="minorHAnsi"/>
          <w:lang w:val="en-GB"/>
        </w:rPr>
        <w:t>.</w:t>
      </w:r>
      <w:r w:rsidR="00C02DE3">
        <w:rPr>
          <w:rFonts w:asciiTheme="minorHAnsi" w:hAnsiTheme="minorHAnsi"/>
          <w:lang w:val="en-GB"/>
        </w:rPr>
        <w:t xml:space="preserve"> </w:t>
      </w:r>
      <w:r w:rsidRPr="007B1BBA">
        <w:rPr>
          <w:rFonts w:asciiTheme="minorHAnsi" w:hAnsiTheme="minorHAnsi"/>
          <w:lang w:val="en-GB"/>
        </w:rPr>
        <w:t>Very rare cases of serious skin reactions have been reported.</w:t>
      </w:r>
    </w:p>
    <w:p w14:paraId="6D0B8D19" w14:textId="77777777" w:rsidR="00365CC8" w:rsidRDefault="00365CC8" w:rsidP="00365CC8">
      <w:pPr>
        <w:pStyle w:val="Lijstalinea"/>
        <w:spacing w:after="0"/>
        <w:ind w:left="426"/>
        <w:rPr>
          <w:rFonts w:asciiTheme="minorHAnsi" w:hAnsiTheme="minorHAnsi"/>
          <w:b/>
          <w:i/>
          <w:lang w:val="en-GB"/>
        </w:rPr>
      </w:pPr>
    </w:p>
    <w:p w14:paraId="6F30EE2B" w14:textId="77777777" w:rsidR="00365CC8" w:rsidRPr="00365CC8" w:rsidRDefault="00365CC8" w:rsidP="00365CC8">
      <w:pPr>
        <w:pStyle w:val="Lijstalinea"/>
        <w:spacing w:after="0"/>
        <w:ind w:left="426"/>
        <w:rPr>
          <w:rFonts w:asciiTheme="minorHAnsi" w:hAnsiTheme="minorHAnsi"/>
          <w:b/>
          <w:i/>
          <w:lang w:val="en-GB"/>
        </w:rPr>
      </w:pPr>
      <w:r w:rsidRPr="00365CC8">
        <w:rPr>
          <w:rFonts w:asciiTheme="minorHAnsi" w:hAnsiTheme="minorHAnsi"/>
          <w:b/>
          <w:i/>
          <w:lang w:val="en-GB"/>
        </w:rPr>
        <w:t>Related to the presence of phenylephrine</w:t>
      </w:r>
    </w:p>
    <w:p w14:paraId="432DCBA7" w14:textId="77777777" w:rsidR="00365CC8" w:rsidRPr="007B1BBA" w:rsidRDefault="00365CC8" w:rsidP="00365CC8">
      <w:pPr>
        <w:pStyle w:val="Lijstalinea"/>
        <w:numPr>
          <w:ilvl w:val="0"/>
          <w:numId w:val="19"/>
        </w:numPr>
        <w:spacing w:after="0"/>
        <w:rPr>
          <w:rFonts w:asciiTheme="minorHAnsi" w:hAnsiTheme="minorHAnsi"/>
          <w:lang w:val="en-GB"/>
        </w:rPr>
      </w:pPr>
      <w:r w:rsidRPr="007B1BBA">
        <w:rPr>
          <w:rFonts w:asciiTheme="minorHAnsi" w:hAnsiTheme="minorHAnsi"/>
          <w:lang w:val="en-GB"/>
        </w:rPr>
        <w:t>Headache, nervousness, insomnia, central stimulation, confusion, anxiety, psychotic episodes,</w:t>
      </w:r>
    </w:p>
    <w:p w14:paraId="4EEA8C06" w14:textId="77777777" w:rsidR="00365CC8" w:rsidRPr="007B1BBA" w:rsidRDefault="00365CC8" w:rsidP="00365CC8">
      <w:pPr>
        <w:pStyle w:val="Lijstalinea"/>
        <w:spacing w:after="0"/>
        <w:ind w:left="426"/>
        <w:rPr>
          <w:rFonts w:asciiTheme="minorHAnsi" w:hAnsiTheme="minorHAnsi"/>
          <w:lang w:val="en-GB"/>
        </w:rPr>
      </w:pPr>
    </w:p>
    <w:p w14:paraId="170AB187" w14:textId="77777777" w:rsidR="00052A9D" w:rsidRPr="00365CC8" w:rsidRDefault="00052A9D" w:rsidP="00052A9D">
      <w:pPr>
        <w:pStyle w:val="Lijstalinea"/>
        <w:spacing w:after="0"/>
        <w:ind w:left="426"/>
        <w:rPr>
          <w:rFonts w:asciiTheme="minorHAnsi" w:hAnsiTheme="minorHAnsi"/>
          <w:b/>
          <w:i/>
          <w:lang w:val="en-GB"/>
        </w:rPr>
      </w:pPr>
      <w:r w:rsidRPr="00365CC8">
        <w:rPr>
          <w:rFonts w:asciiTheme="minorHAnsi" w:hAnsiTheme="minorHAnsi"/>
          <w:b/>
          <w:i/>
          <w:lang w:val="en-GB"/>
        </w:rPr>
        <w:t>Related to the presence of chlorphenamine</w:t>
      </w:r>
    </w:p>
    <w:p w14:paraId="10493860" w14:textId="77777777" w:rsidR="00052A9D" w:rsidRPr="00052A9D" w:rsidRDefault="00052A9D" w:rsidP="00052A9D">
      <w:pPr>
        <w:pStyle w:val="Lijstalinea"/>
        <w:numPr>
          <w:ilvl w:val="0"/>
          <w:numId w:val="19"/>
        </w:numPr>
        <w:spacing w:after="0"/>
        <w:rPr>
          <w:rFonts w:asciiTheme="minorHAnsi" w:hAnsiTheme="minorHAnsi"/>
          <w:lang w:val="en-GB"/>
        </w:rPr>
      </w:pPr>
      <w:r w:rsidRPr="00052A9D">
        <w:rPr>
          <w:rFonts w:asciiTheme="minorHAnsi" w:hAnsiTheme="minorHAnsi"/>
          <w:lang w:val="en-GB"/>
        </w:rPr>
        <w:t>Daytime sleepiness</w:t>
      </w:r>
      <w:r w:rsidR="00B33A56">
        <w:rPr>
          <w:rFonts w:asciiTheme="minorHAnsi" w:hAnsiTheme="minorHAnsi"/>
          <w:lang w:val="en-GB"/>
        </w:rPr>
        <w:t>.</w:t>
      </w:r>
    </w:p>
    <w:p w14:paraId="6404746B" w14:textId="77777777" w:rsidR="00B33A56" w:rsidRDefault="00052A9D" w:rsidP="00052A9D">
      <w:pPr>
        <w:pStyle w:val="Lijstalinea"/>
        <w:numPr>
          <w:ilvl w:val="0"/>
          <w:numId w:val="19"/>
        </w:numPr>
        <w:spacing w:after="0"/>
        <w:rPr>
          <w:rFonts w:asciiTheme="minorHAnsi" w:hAnsiTheme="minorHAnsi"/>
          <w:lang w:val="en-GB"/>
        </w:rPr>
      </w:pPr>
      <w:r w:rsidRPr="00052A9D">
        <w:rPr>
          <w:rFonts w:asciiTheme="minorHAnsi" w:hAnsiTheme="minorHAnsi"/>
          <w:lang w:val="en-GB"/>
        </w:rPr>
        <w:t xml:space="preserve">Atropine effects: dry mouth, difficulty with accommodation, constipation, urinary retention, mental confusion or arousal in elderly </w:t>
      </w:r>
      <w:r w:rsidR="00B33A56">
        <w:rPr>
          <w:rFonts w:asciiTheme="minorHAnsi" w:hAnsiTheme="minorHAnsi"/>
          <w:lang w:val="en-GB"/>
        </w:rPr>
        <w:t>patients.</w:t>
      </w:r>
    </w:p>
    <w:p w14:paraId="19F319E5" w14:textId="77777777" w:rsidR="00052A9D" w:rsidRPr="00052A9D" w:rsidRDefault="00B33A56" w:rsidP="00052A9D">
      <w:pPr>
        <w:pStyle w:val="Lijstalinea"/>
        <w:numPr>
          <w:ilvl w:val="0"/>
          <w:numId w:val="19"/>
        </w:numPr>
        <w:spacing w:after="0"/>
        <w:rPr>
          <w:rFonts w:asciiTheme="minorHAnsi" w:hAnsiTheme="minorHAnsi"/>
          <w:lang w:val="en-GB"/>
        </w:rPr>
      </w:pPr>
      <w:r>
        <w:rPr>
          <w:rFonts w:asciiTheme="minorHAnsi" w:hAnsiTheme="minorHAnsi"/>
          <w:lang w:val="en-GB"/>
        </w:rPr>
        <w:t>Digestive intolerance.</w:t>
      </w:r>
    </w:p>
    <w:p w14:paraId="1E3524AF" w14:textId="77777777" w:rsidR="00DC4881" w:rsidRPr="00052A9D" w:rsidRDefault="00052A9D" w:rsidP="00052A9D">
      <w:pPr>
        <w:pStyle w:val="Lijstalinea"/>
        <w:numPr>
          <w:ilvl w:val="0"/>
          <w:numId w:val="19"/>
        </w:numPr>
        <w:spacing w:after="0"/>
        <w:rPr>
          <w:rFonts w:asciiTheme="minorHAnsi" w:hAnsiTheme="minorHAnsi"/>
          <w:lang w:val="en-GB"/>
        </w:rPr>
      </w:pPr>
      <w:r w:rsidRPr="00052A9D">
        <w:rPr>
          <w:rFonts w:asciiTheme="minorHAnsi" w:hAnsiTheme="minorHAnsi"/>
          <w:lang w:val="en-GB"/>
        </w:rPr>
        <w:t>Paradoxical excitation phenomena have been reported in children</w:t>
      </w:r>
      <w:r w:rsidR="00B33A56">
        <w:rPr>
          <w:rFonts w:asciiTheme="minorHAnsi" w:hAnsiTheme="minorHAnsi"/>
          <w:lang w:val="en-GB"/>
        </w:rPr>
        <w:t>.</w:t>
      </w:r>
    </w:p>
    <w:p w14:paraId="77CD13C7" w14:textId="77777777" w:rsidR="00052A9D" w:rsidRPr="00052A9D" w:rsidRDefault="00052A9D" w:rsidP="00052A9D">
      <w:pPr>
        <w:pStyle w:val="Lijstalinea"/>
        <w:spacing w:after="0"/>
        <w:ind w:left="426"/>
        <w:rPr>
          <w:rFonts w:asciiTheme="minorHAnsi" w:hAnsiTheme="minorHAnsi"/>
          <w:lang w:val="en-GB"/>
        </w:rPr>
      </w:pPr>
    </w:p>
    <w:p w14:paraId="117CC111" w14:textId="77777777" w:rsidR="00B33A56" w:rsidRPr="007B1BBA" w:rsidRDefault="00B33A56" w:rsidP="00052A9D">
      <w:pPr>
        <w:pStyle w:val="Lijstalinea"/>
        <w:spacing w:after="0"/>
        <w:ind w:left="426"/>
        <w:rPr>
          <w:rFonts w:asciiTheme="minorHAnsi" w:hAnsiTheme="minorHAnsi"/>
          <w:lang w:val="en-GB"/>
        </w:rPr>
      </w:pPr>
    </w:p>
    <w:p w14:paraId="7A0761BE" w14:textId="77777777" w:rsidR="00AE30FE" w:rsidRPr="007B1BBA" w:rsidRDefault="009B0007" w:rsidP="00F26321">
      <w:pPr>
        <w:spacing w:after="0"/>
        <w:ind w:left="426"/>
        <w:rPr>
          <w:rFonts w:asciiTheme="minorHAnsi" w:hAnsiTheme="minorHAnsi"/>
          <w:b/>
          <w:lang w:val="en-GB"/>
        </w:rPr>
      </w:pPr>
      <w:r w:rsidRPr="007B1BBA">
        <w:rPr>
          <w:rFonts w:asciiTheme="minorHAnsi" w:hAnsiTheme="minorHAnsi"/>
          <w:b/>
          <w:lang w:val="en-GB"/>
        </w:rPr>
        <w:t xml:space="preserve">4.9 </w:t>
      </w:r>
      <w:r w:rsidR="00AE30FE" w:rsidRPr="007B1BBA">
        <w:rPr>
          <w:rFonts w:asciiTheme="minorHAnsi" w:hAnsiTheme="minorHAnsi"/>
          <w:b/>
          <w:lang w:val="en-GB"/>
        </w:rPr>
        <w:t>Overdose</w:t>
      </w:r>
    </w:p>
    <w:p w14:paraId="083DBB8D" w14:textId="77777777" w:rsidR="00B33A56" w:rsidRPr="007B1BBA" w:rsidRDefault="00B33A56" w:rsidP="002B1AA7">
      <w:pPr>
        <w:pStyle w:val="Lijstalinea"/>
        <w:spacing w:after="0"/>
        <w:rPr>
          <w:rFonts w:asciiTheme="minorHAnsi" w:hAnsiTheme="minorHAnsi"/>
          <w:lang w:val="en-GB"/>
        </w:rPr>
      </w:pPr>
      <w:r w:rsidRPr="007B1BBA">
        <w:rPr>
          <w:rFonts w:asciiTheme="minorHAnsi" w:hAnsiTheme="minorHAnsi"/>
          <w:lang w:val="en-GB"/>
        </w:rPr>
        <w:t>Ingestion of an overdose requires immediate hospitalisation and the treatment should focus on the symptoms caused by the 3 components of Rhino</w:t>
      </w:r>
      <w:r w:rsidR="00330C75">
        <w:rPr>
          <w:rFonts w:asciiTheme="minorHAnsi" w:hAnsiTheme="minorHAnsi"/>
          <w:lang w:val="en-GB"/>
        </w:rPr>
        <w:t>P</w:t>
      </w:r>
      <w:r w:rsidRPr="007B1BBA">
        <w:rPr>
          <w:rFonts w:asciiTheme="minorHAnsi" w:hAnsiTheme="minorHAnsi"/>
          <w:lang w:val="en-GB"/>
        </w:rPr>
        <w:t xml:space="preserve">arol: </w:t>
      </w:r>
      <w:r w:rsidR="00330C75" w:rsidRPr="007B1BBA">
        <w:rPr>
          <w:rFonts w:asciiTheme="minorHAnsi" w:hAnsiTheme="minorHAnsi"/>
          <w:lang w:val="en-GB"/>
        </w:rPr>
        <w:t>paracetamol</w:t>
      </w:r>
      <w:r w:rsidR="00330C75">
        <w:rPr>
          <w:rFonts w:asciiTheme="minorHAnsi" w:hAnsiTheme="minorHAnsi"/>
          <w:lang w:val="en-GB"/>
        </w:rPr>
        <w:t xml:space="preserve">, </w:t>
      </w:r>
      <w:r w:rsidR="00330C75" w:rsidRPr="007B1BBA">
        <w:rPr>
          <w:rFonts w:asciiTheme="minorHAnsi" w:hAnsiTheme="minorHAnsi"/>
          <w:lang w:val="en-GB"/>
        </w:rPr>
        <w:t xml:space="preserve">phenylephrine </w:t>
      </w:r>
      <w:r w:rsidR="00330C75">
        <w:rPr>
          <w:rFonts w:asciiTheme="minorHAnsi" w:hAnsiTheme="minorHAnsi"/>
          <w:lang w:val="en-GB"/>
        </w:rPr>
        <w:t xml:space="preserve">and </w:t>
      </w:r>
      <w:r w:rsidRPr="007B1BBA">
        <w:rPr>
          <w:rFonts w:asciiTheme="minorHAnsi" w:hAnsiTheme="minorHAnsi"/>
          <w:lang w:val="en-GB"/>
        </w:rPr>
        <w:t>chlorphenamine</w:t>
      </w:r>
      <w:r w:rsidR="00330C75">
        <w:rPr>
          <w:rFonts w:asciiTheme="minorHAnsi" w:hAnsiTheme="minorHAnsi"/>
          <w:lang w:val="en-GB"/>
        </w:rPr>
        <w:t>.</w:t>
      </w:r>
    </w:p>
    <w:p w14:paraId="4350B7B6" w14:textId="77777777" w:rsidR="00D047BA" w:rsidRDefault="00D047BA" w:rsidP="00D047BA">
      <w:pPr>
        <w:pStyle w:val="Lijstalinea"/>
        <w:spacing w:after="0"/>
        <w:ind w:left="0" w:firstLine="567"/>
        <w:rPr>
          <w:rFonts w:asciiTheme="minorHAnsi" w:hAnsiTheme="minorHAnsi"/>
          <w:b/>
          <w:lang w:val="en-GB"/>
        </w:rPr>
      </w:pPr>
    </w:p>
    <w:p w14:paraId="0AA49065" w14:textId="77777777" w:rsidR="00D047BA" w:rsidRPr="00D047BA" w:rsidRDefault="00D047BA" w:rsidP="00D047BA">
      <w:pPr>
        <w:pStyle w:val="Lijstalinea"/>
        <w:spacing w:after="0"/>
        <w:ind w:left="0" w:firstLine="720"/>
        <w:rPr>
          <w:rFonts w:asciiTheme="minorHAnsi" w:hAnsiTheme="minorHAnsi"/>
          <w:b/>
          <w:i/>
          <w:lang w:val="en-GB"/>
        </w:rPr>
      </w:pPr>
      <w:r w:rsidRPr="00D047BA">
        <w:rPr>
          <w:rFonts w:asciiTheme="minorHAnsi" w:hAnsiTheme="minorHAnsi"/>
          <w:b/>
          <w:i/>
          <w:lang w:val="en-GB"/>
        </w:rPr>
        <w:t>Overdosage related to Paracetamol</w:t>
      </w:r>
    </w:p>
    <w:p w14:paraId="66442CE9" w14:textId="77777777" w:rsidR="00D047BA" w:rsidRPr="00D047BA" w:rsidRDefault="00D047BA" w:rsidP="00D047BA">
      <w:pPr>
        <w:pStyle w:val="Lijstalinea"/>
        <w:numPr>
          <w:ilvl w:val="0"/>
          <w:numId w:val="21"/>
        </w:numPr>
        <w:spacing w:after="0"/>
        <w:ind w:left="927"/>
        <w:rPr>
          <w:rFonts w:asciiTheme="minorHAnsi" w:hAnsiTheme="minorHAnsi"/>
          <w:lang w:val="en-GB"/>
        </w:rPr>
      </w:pPr>
      <w:r w:rsidRPr="00D047BA">
        <w:rPr>
          <w:rFonts w:asciiTheme="minorHAnsi" w:hAnsiTheme="minorHAnsi"/>
          <w:lang w:val="en-GB"/>
        </w:rPr>
        <w:t>Symptoms of paracetamol intoxication include nausea, vomiting, anorexia, pallor, and abdominal pain. These symptoms usually appear within 24 hours of taking the overdose.</w:t>
      </w:r>
    </w:p>
    <w:p w14:paraId="607BC5A7" w14:textId="77777777" w:rsidR="00D047BA" w:rsidRPr="00D047BA" w:rsidRDefault="00D047BA" w:rsidP="00D047BA">
      <w:pPr>
        <w:pStyle w:val="Lijstalinea"/>
        <w:numPr>
          <w:ilvl w:val="0"/>
          <w:numId w:val="21"/>
        </w:numPr>
        <w:spacing w:after="0"/>
        <w:ind w:left="927"/>
        <w:rPr>
          <w:rFonts w:asciiTheme="minorHAnsi" w:hAnsiTheme="minorHAnsi"/>
          <w:lang w:val="en-GB"/>
        </w:rPr>
      </w:pPr>
      <w:r w:rsidRPr="00D047BA">
        <w:rPr>
          <w:rFonts w:asciiTheme="minorHAnsi" w:hAnsiTheme="minorHAnsi"/>
          <w:lang w:val="en-GB"/>
        </w:rPr>
        <w:t>A paracetamol overdose of 10 g or more in a single dose in adults or 150 mg / kg body weight in a single dose in children results in hepatic cytolysis that may result in complete and irreversible necrosis resulting in hepatocellular insufficiency, metabolic acidosis, and encephalopathy may lead to coma and death.</w:t>
      </w:r>
    </w:p>
    <w:p w14:paraId="075A7DCD" w14:textId="77777777" w:rsidR="00D047BA" w:rsidRPr="00D047BA" w:rsidRDefault="00D047BA" w:rsidP="00D047BA">
      <w:pPr>
        <w:pStyle w:val="Lijstalinea"/>
        <w:numPr>
          <w:ilvl w:val="0"/>
          <w:numId w:val="21"/>
        </w:numPr>
        <w:spacing w:after="0"/>
        <w:ind w:left="927"/>
        <w:rPr>
          <w:rFonts w:asciiTheme="minorHAnsi" w:hAnsiTheme="minorHAnsi"/>
          <w:lang w:val="en-GB"/>
        </w:rPr>
      </w:pPr>
      <w:r w:rsidRPr="00D047BA">
        <w:rPr>
          <w:rFonts w:asciiTheme="minorHAnsi" w:hAnsiTheme="minorHAnsi"/>
          <w:lang w:val="en-GB"/>
        </w:rPr>
        <w:t>At the same time, hepatic transaminases (ASAT, ALT), lactic dehydrogenase, and bilirubin levels were observed to increase, with prothrombin levels decreasing 12 to 48 hours after ingestion of the overdose.</w:t>
      </w:r>
    </w:p>
    <w:p w14:paraId="3598C4B1" w14:textId="77777777" w:rsidR="00D047BA" w:rsidRPr="00D047BA" w:rsidRDefault="00D047BA" w:rsidP="00D047BA">
      <w:pPr>
        <w:pStyle w:val="Lijstalinea"/>
        <w:numPr>
          <w:ilvl w:val="0"/>
          <w:numId w:val="21"/>
        </w:numPr>
        <w:spacing w:after="0"/>
        <w:ind w:left="927"/>
        <w:rPr>
          <w:rFonts w:asciiTheme="minorHAnsi" w:hAnsiTheme="minorHAnsi"/>
          <w:lang w:val="en-GB"/>
        </w:rPr>
      </w:pPr>
      <w:r w:rsidRPr="00D047BA">
        <w:rPr>
          <w:rFonts w:asciiTheme="minorHAnsi" w:hAnsiTheme="minorHAnsi"/>
          <w:lang w:val="en-GB"/>
        </w:rPr>
        <w:t>Clinical signs of liver injury usually appear after two days and peak after 4-6 days. Even in the absence of severe hepatic injury, acute renal failure with acute tubular necrosis may occur.</w:t>
      </w:r>
    </w:p>
    <w:p w14:paraId="40BE7C03" w14:textId="77777777" w:rsidR="00D047BA" w:rsidRDefault="00D047BA" w:rsidP="00D047BA">
      <w:pPr>
        <w:pStyle w:val="Lijstalinea"/>
        <w:numPr>
          <w:ilvl w:val="0"/>
          <w:numId w:val="21"/>
        </w:numPr>
        <w:spacing w:after="0"/>
        <w:ind w:left="927"/>
        <w:rPr>
          <w:rFonts w:asciiTheme="minorHAnsi" w:hAnsiTheme="minorHAnsi"/>
          <w:lang w:val="en-GB"/>
        </w:rPr>
      </w:pPr>
      <w:r w:rsidRPr="00D047BA">
        <w:rPr>
          <w:rFonts w:asciiTheme="minorHAnsi" w:hAnsiTheme="minorHAnsi"/>
          <w:lang w:val="en-GB"/>
        </w:rPr>
        <w:t>Other non-hepatic symptoms of paracetamol overdose may be myocardial alterations and pancreatitis.</w:t>
      </w:r>
    </w:p>
    <w:p w14:paraId="66A86464" w14:textId="77777777" w:rsidR="00A93D2A" w:rsidRPr="00A93D2A" w:rsidRDefault="00A93D2A" w:rsidP="00A93D2A">
      <w:pPr>
        <w:pStyle w:val="Lijstalinea"/>
        <w:spacing w:after="0"/>
        <w:ind w:left="643"/>
        <w:rPr>
          <w:rFonts w:asciiTheme="minorHAnsi" w:hAnsiTheme="minorHAnsi"/>
          <w:b/>
          <w:u w:val="single"/>
          <w:lang w:val="en-GB"/>
        </w:rPr>
      </w:pPr>
      <w:r w:rsidRPr="00A93D2A">
        <w:rPr>
          <w:rFonts w:asciiTheme="minorHAnsi" w:hAnsiTheme="minorHAnsi"/>
          <w:b/>
          <w:u w:val="single"/>
          <w:lang w:val="en-GB"/>
        </w:rPr>
        <w:t>Emergency treatment</w:t>
      </w:r>
    </w:p>
    <w:p w14:paraId="65204058"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Immediate hospitali</w:t>
      </w:r>
      <w:r>
        <w:rPr>
          <w:rFonts w:asciiTheme="minorHAnsi" w:hAnsiTheme="minorHAnsi"/>
          <w:lang w:val="en-GB"/>
        </w:rPr>
        <w:t>s</w:t>
      </w:r>
      <w:r w:rsidRPr="00A93D2A">
        <w:rPr>
          <w:rFonts w:asciiTheme="minorHAnsi" w:hAnsiTheme="minorHAnsi"/>
          <w:lang w:val="en-GB"/>
        </w:rPr>
        <w:t>ation.</w:t>
      </w:r>
    </w:p>
    <w:p w14:paraId="21515F04"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After an overdose, a blood sample should be taken to determine the paracetamol level as soon as possible before starting treatment.</w:t>
      </w:r>
    </w:p>
    <w:p w14:paraId="49B6D746"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Rapid evacuation of the ingested product by gastric lavage, then administration of active charcoal (adsorbent) and sodium sulphate (laxative).</w:t>
      </w:r>
    </w:p>
    <w:p w14:paraId="066D6276"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Dialysis may reduce the plasma concentration of paracetamol.</w:t>
      </w:r>
    </w:p>
    <w:p w14:paraId="2D670E07"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The treatment consists of the administration of the antidote N-acetylcysteine (NAC), intravenously or orally, if possible before the tenth hour after ingestion of the overdose. NAC treatment may result a protective effect even after 10 hours when given as a prolonged treatment.</w:t>
      </w:r>
    </w:p>
    <w:p w14:paraId="6591EF1E"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Symptomatic treatment.</w:t>
      </w:r>
    </w:p>
    <w:p w14:paraId="2A8F442A" w14:textId="77777777" w:rsidR="00A93D2A" w:rsidRPr="00A93D2A" w:rsidRDefault="00A93D2A" w:rsidP="00A93D2A">
      <w:pPr>
        <w:pStyle w:val="Lijstalinea"/>
        <w:numPr>
          <w:ilvl w:val="0"/>
          <w:numId w:val="21"/>
        </w:numPr>
        <w:spacing w:after="0"/>
        <w:rPr>
          <w:rFonts w:asciiTheme="minorHAnsi" w:hAnsiTheme="minorHAnsi"/>
          <w:lang w:val="en-GB"/>
        </w:rPr>
      </w:pPr>
      <w:r w:rsidRPr="00A93D2A">
        <w:rPr>
          <w:rFonts w:asciiTheme="minorHAnsi" w:hAnsiTheme="minorHAnsi"/>
          <w:lang w:val="en-GB"/>
        </w:rPr>
        <w:t>Liver tests should be performed at the beginning of treatment and repeated every 24 hours. In most cases, hepatic transaminases will return to normal levels within one to two weeks, and liver function will be fully restored. However, in very rare cases, liver transplantation may be indicated.</w:t>
      </w:r>
    </w:p>
    <w:p w14:paraId="5536D92C" w14:textId="77777777" w:rsidR="00A93D2A" w:rsidRPr="00D047BA" w:rsidRDefault="00A93D2A" w:rsidP="00A93D2A">
      <w:pPr>
        <w:pStyle w:val="Lijstalinea"/>
        <w:spacing w:after="0"/>
        <w:ind w:left="927"/>
        <w:rPr>
          <w:rFonts w:asciiTheme="minorHAnsi" w:hAnsiTheme="minorHAnsi"/>
          <w:lang w:val="en-GB"/>
        </w:rPr>
      </w:pPr>
    </w:p>
    <w:p w14:paraId="343645A0" w14:textId="77777777" w:rsidR="007B1BBA" w:rsidRPr="00A93D2A" w:rsidRDefault="007B1BBA" w:rsidP="00A93D2A">
      <w:pPr>
        <w:pStyle w:val="Lijstalinea"/>
        <w:spacing w:after="0"/>
        <w:ind w:left="330"/>
        <w:rPr>
          <w:rFonts w:asciiTheme="minorHAnsi" w:hAnsiTheme="minorHAnsi"/>
          <w:b/>
          <w:i/>
          <w:lang w:val="en-GB"/>
        </w:rPr>
      </w:pPr>
      <w:r w:rsidRPr="00A93D2A">
        <w:rPr>
          <w:rFonts w:asciiTheme="minorHAnsi" w:hAnsiTheme="minorHAnsi"/>
          <w:b/>
          <w:i/>
          <w:lang w:val="en-GB"/>
        </w:rPr>
        <w:t>Overdosage related to phenylephrine</w:t>
      </w:r>
    </w:p>
    <w:p w14:paraId="2119E065" w14:textId="77777777" w:rsidR="007B1BBA" w:rsidRPr="007B1BBA" w:rsidRDefault="007B1BBA" w:rsidP="00A93D2A">
      <w:pPr>
        <w:pStyle w:val="Lijstalinea"/>
        <w:numPr>
          <w:ilvl w:val="0"/>
          <w:numId w:val="20"/>
        </w:numPr>
        <w:spacing w:after="0"/>
        <w:ind w:left="756"/>
        <w:rPr>
          <w:rFonts w:asciiTheme="minorHAnsi" w:hAnsiTheme="minorHAnsi"/>
          <w:lang w:val="en-GB"/>
        </w:rPr>
      </w:pPr>
      <w:r w:rsidRPr="007B1BBA">
        <w:rPr>
          <w:rFonts w:asciiTheme="minorHAnsi" w:hAnsiTheme="minorHAnsi"/>
          <w:lang w:val="en-GB"/>
        </w:rPr>
        <w:t>Acute intoxications due to phenylephrine are characterized by hypertension, palpitations, urination and irritability.</w:t>
      </w:r>
    </w:p>
    <w:p w14:paraId="78C2514A" w14:textId="77777777" w:rsidR="007B1BBA" w:rsidRDefault="007B1BBA" w:rsidP="00A93D2A">
      <w:pPr>
        <w:pStyle w:val="Lijstalinea"/>
        <w:numPr>
          <w:ilvl w:val="0"/>
          <w:numId w:val="20"/>
        </w:numPr>
        <w:spacing w:after="0"/>
        <w:ind w:left="756"/>
        <w:rPr>
          <w:rFonts w:asciiTheme="minorHAnsi" w:hAnsiTheme="minorHAnsi"/>
          <w:lang w:val="en-GB"/>
        </w:rPr>
      </w:pPr>
      <w:r w:rsidRPr="007B1BBA">
        <w:rPr>
          <w:rFonts w:asciiTheme="minorHAnsi" w:hAnsiTheme="minorHAnsi"/>
          <w:lang w:val="en-GB"/>
        </w:rPr>
        <w:t xml:space="preserve">Treatment of overdosage with phenylephrine: </w:t>
      </w:r>
      <w:r>
        <w:rPr>
          <w:rFonts w:asciiTheme="minorHAnsi" w:hAnsiTheme="minorHAnsi"/>
          <w:lang w:val="en-GB"/>
        </w:rPr>
        <w:t>t</w:t>
      </w:r>
      <w:r w:rsidRPr="007B1BBA">
        <w:rPr>
          <w:rFonts w:asciiTheme="minorHAnsi" w:hAnsiTheme="minorHAnsi"/>
          <w:lang w:val="en-GB"/>
        </w:rPr>
        <w:t>here is no specific antidote. The treatment is purely symptomatic</w:t>
      </w:r>
    </w:p>
    <w:p w14:paraId="51B5727A" w14:textId="77777777" w:rsidR="007B1BBA" w:rsidRDefault="007B1BBA" w:rsidP="007B1BBA">
      <w:pPr>
        <w:pStyle w:val="Lijstalinea"/>
        <w:spacing w:after="0"/>
        <w:ind w:left="0"/>
        <w:rPr>
          <w:rFonts w:asciiTheme="minorHAnsi" w:hAnsiTheme="minorHAnsi"/>
          <w:lang w:val="en-GB"/>
        </w:rPr>
      </w:pPr>
    </w:p>
    <w:p w14:paraId="38F5900E" w14:textId="77777777" w:rsidR="00A93D2A" w:rsidRPr="00A93D2A" w:rsidRDefault="00A93D2A" w:rsidP="00A93D2A">
      <w:pPr>
        <w:pStyle w:val="Lijstalinea"/>
        <w:spacing w:after="0"/>
        <w:ind w:left="396"/>
        <w:rPr>
          <w:rFonts w:asciiTheme="minorHAnsi" w:hAnsiTheme="minorHAnsi"/>
          <w:b/>
          <w:i/>
          <w:lang w:val="en-GB"/>
        </w:rPr>
      </w:pPr>
      <w:r w:rsidRPr="00A93D2A">
        <w:rPr>
          <w:rFonts w:asciiTheme="minorHAnsi" w:hAnsiTheme="minorHAnsi"/>
          <w:b/>
          <w:i/>
          <w:lang w:val="en-GB"/>
        </w:rPr>
        <w:t>Overdosage related to chlorphenamine</w:t>
      </w:r>
    </w:p>
    <w:p w14:paraId="3FA44BD7" w14:textId="77777777" w:rsidR="00A93D2A" w:rsidRPr="007B1BBA" w:rsidRDefault="00A93D2A" w:rsidP="00A93D2A">
      <w:pPr>
        <w:pStyle w:val="Lijstalinea"/>
        <w:numPr>
          <w:ilvl w:val="0"/>
          <w:numId w:val="20"/>
        </w:numPr>
        <w:spacing w:after="0"/>
        <w:ind w:left="822"/>
        <w:rPr>
          <w:rFonts w:asciiTheme="minorHAnsi" w:hAnsiTheme="minorHAnsi"/>
          <w:lang w:val="en-GB"/>
        </w:rPr>
      </w:pPr>
      <w:r>
        <w:rPr>
          <w:rFonts w:asciiTheme="minorHAnsi" w:hAnsiTheme="minorHAnsi"/>
          <w:lang w:val="en-GB"/>
        </w:rPr>
        <w:t>Symptoms i</w:t>
      </w:r>
      <w:r w:rsidRPr="007B1BBA">
        <w:rPr>
          <w:rFonts w:asciiTheme="minorHAnsi" w:hAnsiTheme="minorHAnsi"/>
          <w:lang w:val="en-GB"/>
        </w:rPr>
        <w:t>n children: excitement with agitation, hallucinations, ataxia, incoordination, athetosis and convulsions. These</w:t>
      </w:r>
      <w:r>
        <w:rPr>
          <w:rFonts w:asciiTheme="minorHAnsi" w:hAnsiTheme="minorHAnsi"/>
          <w:lang w:val="en-GB"/>
        </w:rPr>
        <w:t xml:space="preserve"> symptoms </w:t>
      </w:r>
      <w:r w:rsidRPr="007B1BBA">
        <w:rPr>
          <w:rFonts w:asciiTheme="minorHAnsi" w:hAnsiTheme="minorHAnsi"/>
          <w:lang w:val="en-GB"/>
        </w:rPr>
        <w:t xml:space="preserve"> occur intermittently, tremor and athetotic movements may be the prodrome. Fixed and dilated pupils, redness of the integuments (face) and hyperthermia are common signs that recall atropinic intoxication. The terminal phase is accompanied by a coma that worsens with cardiopulmonary collapse. Death can occur within 2 to 98 hours.</w:t>
      </w:r>
    </w:p>
    <w:p w14:paraId="1CFE6062" w14:textId="77777777" w:rsidR="00A93D2A" w:rsidRPr="007B1BBA" w:rsidRDefault="00A93D2A" w:rsidP="00A93D2A">
      <w:pPr>
        <w:pStyle w:val="Lijstalinea"/>
        <w:numPr>
          <w:ilvl w:val="0"/>
          <w:numId w:val="20"/>
        </w:numPr>
        <w:spacing w:after="0"/>
        <w:ind w:left="822"/>
        <w:rPr>
          <w:rFonts w:asciiTheme="minorHAnsi" w:hAnsiTheme="minorHAnsi"/>
          <w:lang w:val="en-GB"/>
        </w:rPr>
      </w:pPr>
      <w:r w:rsidRPr="007B1BBA">
        <w:rPr>
          <w:rFonts w:asciiTheme="minorHAnsi" w:hAnsiTheme="minorHAnsi"/>
          <w:lang w:val="en-GB"/>
        </w:rPr>
        <w:t>In adults</w:t>
      </w:r>
      <w:r>
        <w:rPr>
          <w:rFonts w:asciiTheme="minorHAnsi" w:hAnsiTheme="minorHAnsi"/>
          <w:lang w:val="en-GB"/>
        </w:rPr>
        <w:t xml:space="preserve"> </w:t>
      </w:r>
      <w:r w:rsidRPr="007B1BBA">
        <w:rPr>
          <w:rFonts w:asciiTheme="minorHAnsi" w:hAnsiTheme="minorHAnsi"/>
          <w:lang w:val="en-GB"/>
        </w:rPr>
        <w:t xml:space="preserve">the </w:t>
      </w:r>
      <w:r>
        <w:rPr>
          <w:rFonts w:asciiTheme="minorHAnsi" w:hAnsiTheme="minorHAnsi"/>
          <w:lang w:val="en-GB"/>
        </w:rPr>
        <w:t>clinical manifestation</w:t>
      </w:r>
      <w:r w:rsidRPr="007B1BBA">
        <w:rPr>
          <w:rFonts w:asciiTheme="minorHAnsi" w:hAnsiTheme="minorHAnsi"/>
          <w:lang w:val="en-GB"/>
        </w:rPr>
        <w:t xml:space="preserve"> is different: depression and coma may precede the phase of excitation and convulsions. Fever and redness of the integuments (the face) are </w:t>
      </w:r>
      <w:r>
        <w:rPr>
          <w:rFonts w:asciiTheme="minorHAnsi" w:hAnsiTheme="minorHAnsi"/>
          <w:lang w:val="en-GB"/>
        </w:rPr>
        <w:t>les common</w:t>
      </w:r>
      <w:r w:rsidRPr="007B1BBA">
        <w:rPr>
          <w:rFonts w:asciiTheme="minorHAnsi" w:hAnsiTheme="minorHAnsi"/>
          <w:lang w:val="en-GB"/>
        </w:rPr>
        <w:t>.</w:t>
      </w:r>
    </w:p>
    <w:p w14:paraId="65C44AF1" w14:textId="77777777" w:rsidR="00A93D2A" w:rsidRPr="007B1BBA" w:rsidRDefault="00A93D2A" w:rsidP="00A93D2A">
      <w:pPr>
        <w:pStyle w:val="Lijstalinea"/>
        <w:numPr>
          <w:ilvl w:val="0"/>
          <w:numId w:val="20"/>
        </w:numPr>
        <w:spacing w:after="0"/>
        <w:ind w:left="822"/>
        <w:rPr>
          <w:rFonts w:asciiTheme="minorHAnsi" w:hAnsiTheme="minorHAnsi"/>
          <w:lang w:val="en-GB"/>
        </w:rPr>
      </w:pPr>
      <w:r w:rsidRPr="007B1BBA">
        <w:rPr>
          <w:rFonts w:asciiTheme="minorHAnsi" w:hAnsiTheme="minorHAnsi"/>
          <w:lang w:val="en-GB"/>
        </w:rPr>
        <w:t>Treatment of overdose with chlorphenamine: symptomatic treatment with possibly assisted respiration and anticonvulsant. (Inject diazepam in slow IV: 0.1 to 0.2 mg / kg, the injection can be repeated up to 4 times in 24 hours).</w:t>
      </w:r>
    </w:p>
    <w:p w14:paraId="367BFA5C" w14:textId="77777777" w:rsidR="007B1BBA" w:rsidRDefault="007B1BBA" w:rsidP="007B1BBA">
      <w:pPr>
        <w:pStyle w:val="Lijstalinea"/>
        <w:spacing w:after="0"/>
        <w:ind w:left="284"/>
        <w:rPr>
          <w:rFonts w:asciiTheme="minorHAnsi" w:hAnsiTheme="minorHAnsi"/>
          <w:sz w:val="22"/>
          <w:szCs w:val="22"/>
          <w:lang w:val="en-GB"/>
        </w:rPr>
      </w:pPr>
    </w:p>
    <w:p w14:paraId="4D406A19" w14:textId="77777777" w:rsidR="00AE30FE" w:rsidRPr="007B1BBA" w:rsidRDefault="009B0007" w:rsidP="00423A98">
      <w:pPr>
        <w:spacing w:after="0"/>
        <w:rPr>
          <w:rFonts w:asciiTheme="minorHAnsi" w:hAnsiTheme="minorHAnsi"/>
          <w:b/>
          <w:lang w:val="en-GB"/>
        </w:rPr>
      </w:pPr>
      <w:r w:rsidRPr="007B1BBA">
        <w:rPr>
          <w:rFonts w:asciiTheme="minorHAnsi" w:hAnsiTheme="minorHAnsi"/>
          <w:b/>
          <w:lang w:val="en-GB"/>
        </w:rPr>
        <w:t xml:space="preserve">5- </w:t>
      </w:r>
      <w:r w:rsidR="00AE30FE" w:rsidRPr="007B1BBA">
        <w:rPr>
          <w:rFonts w:asciiTheme="minorHAnsi" w:hAnsiTheme="minorHAnsi"/>
          <w:b/>
          <w:lang w:val="en-GB"/>
        </w:rPr>
        <w:t>PHARMACOLOGICAL PROPERTIES</w:t>
      </w:r>
    </w:p>
    <w:p w14:paraId="3B331048" w14:textId="77777777" w:rsidR="00FD40F1" w:rsidRPr="007B1BBA" w:rsidRDefault="00FD40F1" w:rsidP="00423A98">
      <w:pPr>
        <w:spacing w:after="0"/>
        <w:rPr>
          <w:rFonts w:asciiTheme="minorHAnsi" w:hAnsiTheme="minorHAnsi"/>
          <w:b/>
          <w:lang w:val="en-GB"/>
        </w:rPr>
      </w:pPr>
    </w:p>
    <w:p w14:paraId="310473C6" w14:textId="77777777" w:rsidR="00AE30FE" w:rsidRPr="007B1BBA" w:rsidRDefault="009B0007" w:rsidP="00423A98">
      <w:pPr>
        <w:spacing w:after="0"/>
        <w:rPr>
          <w:rFonts w:asciiTheme="minorHAnsi" w:hAnsiTheme="minorHAnsi"/>
          <w:b/>
          <w:lang w:val="en-GB"/>
        </w:rPr>
      </w:pPr>
      <w:r w:rsidRPr="007B1BBA">
        <w:rPr>
          <w:rFonts w:asciiTheme="minorHAnsi" w:hAnsiTheme="minorHAnsi"/>
          <w:b/>
          <w:lang w:val="en-GB"/>
        </w:rPr>
        <w:t xml:space="preserve">5.1 </w:t>
      </w:r>
      <w:r w:rsidR="00AE30FE" w:rsidRPr="007B1BBA">
        <w:rPr>
          <w:rFonts w:asciiTheme="minorHAnsi" w:hAnsiTheme="minorHAnsi"/>
          <w:b/>
          <w:lang w:val="en-GB"/>
        </w:rPr>
        <w:t>Pharmacodynamic properties</w:t>
      </w:r>
    </w:p>
    <w:p w14:paraId="12DA2FB3" w14:textId="77777777" w:rsidR="001178BF" w:rsidRPr="007B1BBA" w:rsidRDefault="001178BF" w:rsidP="00423A98">
      <w:pPr>
        <w:pStyle w:val="Lijstalinea"/>
        <w:spacing w:after="0"/>
        <w:ind w:left="0"/>
        <w:rPr>
          <w:rFonts w:asciiTheme="minorHAnsi" w:hAnsiTheme="minorHAnsi"/>
          <w:lang w:val="en-GB"/>
        </w:rPr>
      </w:pPr>
    </w:p>
    <w:p w14:paraId="5764A56A" w14:textId="77777777" w:rsidR="00DC4881" w:rsidRDefault="00DC4881" w:rsidP="00423A98">
      <w:pPr>
        <w:spacing w:after="0"/>
        <w:rPr>
          <w:rFonts w:asciiTheme="minorHAnsi" w:hAnsiTheme="minorHAnsi"/>
          <w:lang w:val="en-GB"/>
        </w:rPr>
      </w:pPr>
      <w:r w:rsidRPr="00A93D2A">
        <w:rPr>
          <w:rFonts w:asciiTheme="minorHAnsi" w:hAnsiTheme="minorHAnsi"/>
          <w:b/>
          <w:lang w:val="en-GB"/>
        </w:rPr>
        <w:t>Pharmac</w:t>
      </w:r>
      <w:r w:rsidR="00B17706" w:rsidRPr="00A93D2A">
        <w:rPr>
          <w:rFonts w:asciiTheme="minorHAnsi" w:hAnsiTheme="minorHAnsi"/>
          <w:b/>
          <w:lang w:val="en-GB"/>
        </w:rPr>
        <w:t>otherapeutic</w:t>
      </w:r>
      <w:r w:rsidRPr="00A93D2A">
        <w:rPr>
          <w:rFonts w:asciiTheme="minorHAnsi" w:hAnsiTheme="minorHAnsi"/>
          <w:b/>
          <w:lang w:val="en-GB"/>
        </w:rPr>
        <w:t xml:space="preserve"> group and ATC </w:t>
      </w:r>
      <w:r w:rsidR="00187C99" w:rsidRPr="00A93D2A">
        <w:rPr>
          <w:rFonts w:asciiTheme="minorHAnsi" w:hAnsiTheme="minorHAnsi"/>
          <w:b/>
          <w:lang w:val="en-GB"/>
        </w:rPr>
        <w:t>code:</w:t>
      </w:r>
      <w:r w:rsidRPr="007B1BBA">
        <w:rPr>
          <w:rFonts w:asciiTheme="minorHAnsi" w:hAnsiTheme="minorHAnsi"/>
          <w:b/>
          <w:lang w:val="en-GB"/>
        </w:rPr>
        <w:t xml:space="preserve"> </w:t>
      </w:r>
      <w:r w:rsidR="00A93D2A">
        <w:rPr>
          <w:rFonts w:asciiTheme="minorHAnsi" w:hAnsiTheme="minorHAnsi"/>
          <w:b/>
          <w:lang w:val="en-GB"/>
        </w:rPr>
        <w:t xml:space="preserve"> </w:t>
      </w:r>
      <w:r w:rsidR="00A93D2A" w:rsidRPr="00A93D2A">
        <w:rPr>
          <w:rFonts w:asciiTheme="minorHAnsi" w:hAnsiTheme="minorHAnsi"/>
          <w:b/>
          <w:lang w:val="en-GB"/>
        </w:rPr>
        <w:t>R5X Other cold preparation</w:t>
      </w:r>
      <w:r w:rsidR="00A93D2A">
        <w:rPr>
          <w:rFonts w:asciiTheme="minorHAnsi" w:hAnsiTheme="minorHAnsi"/>
          <w:b/>
          <w:lang w:val="en-GB"/>
        </w:rPr>
        <w:t>s</w:t>
      </w:r>
    </w:p>
    <w:p w14:paraId="4B2AC6F9" w14:textId="77777777" w:rsidR="00A93D2A" w:rsidRPr="00A93D2A" w:rsidRDefault="00A93D2A" w:rsidP="00423A98">
      <w:pPr>
        <w:spacing w:after="0"/>
        <w:rPr>
          <w:rFonts w:asciiTheme="minorHAnsi" w:hAnsiTheme="minorHAnsi"/>
          <w:i/>
          <w:lang w:val="en-GB"/>
        </w:rPr>
      </w:pPr>
      <w:r>
        <w:rPr>
          <w:rFonts w:asciiTheme="minorHAnsi" w:hAnsiTheme="minorHAnsi"/>
          <w:i/>
          <w:lang w:val="en-GB"/>
        </w:rPr>
        <w:t>(</w:t>
      </w:r>
      <w:r w:rsidR="004B61F5">
        <w:rPr>
          <w:rFonts w:asciiTheme="minorHAnsi" w:hAnsiTheme="minorHAnsi"/>
          <w:i/>
          <w:lang w:val="en-GB"/>
        </w:rPr>
        <w:t xml:space="preserve">Alternative code N02BE51 Paracetamol combinations excl.psycholeptics; </w:t>
      </w:r>
      <w:r w:rsidRPr="00A93D2A">
        <w:rPr>
          <w:rFonts w:asciiTheme="minorHAnsi" w:hAnsiTheme="minorHAnsi"/>
          <w:i/>
          <w:lang w:val="en-GB"/>
        </w:rPr>
        <w:t xml:space="preserve">Individual ATC of the active substances ( Paracetamol N02BE01 Analgesic, Phenylephrine Hydrochloride R01BA53 Nasal decongestant for systemic use, combination and Chlorphenamine maleate </w:t>
      </w:r>
      <w:r>
        <w:rPr>
          <w:rFonts w:asciiTheme="minorHAnsi" w:hAnsiTheme="minorHAnsi"/>
          <w:i/>
          <w:lang w:val="en-GB"/>
        </w:rPr>
        <w:t>R06AB04 antihistamic for systemic us)</w:t>
      </w:r>
    </w:p>
    <w:p w14:paraId="432014C6" w14:textId="77777777" w:rsidR="002B3DDF" w:rsidRDefault="002B3DDF" w:rsidP="00423A98">
      <w:pPr>
        <w:pStyle w:val="Lijstalinea"/>
        <w:spacing w:after="0"/>
        <w:ind w:left="0"/>
        <w:rPr>
          <w:rFonts w:asciiTheme="minorHAnsi" w:hAnsiTheme="minorHAnsi"/>
          <w:lang w:val="en-GB"/>
        </w:rPr>
      </w:pPr>
    </w:p>
    <w:p w14:paraId="40C9D35C" w14:textId="77777777" w:rsidR="00A93D2A" w:rsidRPr="00A93D2A" w:rsidRDefault="00A93D2A" w:rsidP="00A93D2A">
      <w:pPr>
        <w:pStyle w:val="Lijstalinea"/>
        <w:numPr>
          <w:ilvl w:val="0"/>
          <w:numId w:val="22"/>
        </w:numPr>
        <w:spacing w:after="0"/>
        <w:ind w:left="567"/>
        <w:rPr>
          <w:rFonts w:asciiTheme="minorHAnsi" w:hAnsiTheme="minorHAnsi"/>
          <w:lang w:val="en-GB"/>
        </w:rPr>
      </w:pPr>
      <w:r w:rsidRPr="00A93D2A">
        <w:rPr>
          <w:rFonts w:asciiTheme="minorHAnsi" w:hAnsiTheme="minorHAnsi"/>
          <w:b/>
          <w:lang w:val="en-GB"/>
        </w:rPr>
        <w:t>Paracetamol</w:t>
      </w:r>
      <w:r w:rsidRPr="00A93D2A">
        <w:rPr>
          <w:rFonts w:asciiTheme="minorHAnsi" w:hAnsiTheme="minorHAnsi"/>
          <w:lang w:val="en-GB"/>
        </w:rPr>
        <w:t>, a derivative of para-aminophenol, has antipyretic and analgesic properties. It acts by inhibiting the biosynthesis of prostaglandins, mainly in the central nervous system.</w:t>
      </w:r>
    </w:p>
    <w:p w14:paraId="19BE4BB0" w14:textId="77777777" w:rsidR="00A93D2A" w:rsidRPr="00A93D2A" w:rsidRDefault="00A93D2A" w:rsidP="00A93D2A">
      <w:pPr>
        <w:pStyle w:val="Lijstalinea"/>
        <w:numPr>
          <w:ilvl w:val="0"/>
          <w:numId w:val="22"/>
        </w:numPr>
        <w:spacing w:after="0"/>
        <w:ind w:left="567"/>
        <w:rPr>
          <w:rFonts w:asciiTheme="minorHAnsi" w:hAnsiTheme="minorHAnsi"/>
          <w:lang w:val="en-GB"/>
        </w:rPr>
      </w:pPr>
      <w:r w:rsidRPr="00A93D2A">
        <w:rPr>
          <w:rFonts w:asciiTheme="minorHAnsi" w:hAnsiTheme="minorHAnsi"/>
          <w:b/>
          <w:lang w:val="en-GB"/>
        </w:rPr>
        <w:t>Phenylephrine</w:t>
      </w:r>
      <w:r w:rsidR="00C331CE">
        <w:rPr>
          <w:rFonts w:asciiTheme="minorHAnsi" w:hAnsiTheme="minorHAnsi"/>
          <w:b/>
          <w:lang w:val="en-GB"/>
        </w:rPr>
        <w:t xml:space="preserve"> ( hydrochloride )</w:t>
      </w:r>
      <w:r w:rsidRPr="00A93D2A">
        <w:rPr>
          <w:rFonts w:asciiTheme="minorHAnsi" w:hAnsiTheme="minorHAnsi"/>
          <w:lang w:val="en-GB"/>
        </w:rPr>
        <w:t xml:space="preserve"> is a </w:t>
      </w:r>
      <w:r w:rsidR="00777C6C" w:rsidRPr="00A93D2A">
        <w:rPr>
          <w:rFonts w:asciiTheme="minorHAnsi" w:hAnsiTheme="minorHAnsi"/>
          <w:lang w:val="en-GB"/>
        </w:rPr>
        <w:t>sympathomimetic</w:t>
      </w:r>
      <w:r w:rsidRPr="00A93D2A">
        <w:rPr>
          <w:rFonts w:asciiTheme="minorHAnsi" w:hAnsiTheme="minorHAnsi"/>
          <w:lang w:val="en-GB"/>
        </w:rPr>
        <w:t xml:space="preserve"> with essentially direct action on </w:t>
      </w:r>
      <w:r w:rsidR="00777C6C">
        <w:rPr>
          <w:rFonts w:asciiTheme="minorHAnsi" w:hAnsiTheme="minorHAnsi"/>
          <w:lang w:val="en-GB"/>
        </w:rPr>
        <w:t>alpha-</w:t>
      </w:r>
      <w:r w:rsidRPr="00A93D2A">
        <w:rPr>
          <w:rFonts w:asciiTheme="minorHAnsi" w:hAnsiTheme="minorHAnsi"/>
          <w:lang w:val="en-GB"/>
        </w:rPr>
        <w:t>adrenergic receptors. In oral administration or local application, it causes decongestion of the nasal mucosa and clears the upper respiratory tract. At therapeutic doses, phenylephrine has no stimulating effect on β-adrenergic receptors in the heart (β1 receptor). Phenylephrine does not stimulate β2-adrenergic receptors.</w:t>
      </w:r>
    </w:p>
    <w:p w14:paraId="346A5B8E" w14:textId="77777777" w:rsidR="007B1BBA" w:rsidRDefault="007B1BBA" w:rsidP="007B1BBA">
      <w:pPr>
        <w:pStyle w:val="Lijstalinea"/>
        <w:numPr>
          <w:ilvl w:val="0"/>
          <w:numId w:val="22"/>
        </w:numPr>
        <w:spacing w:after="0"/>
        <w:ind w:left="567"/>
        <w:rPr>
          <w:rFonts w:asciiTheme="minorHAnsi" w:hAnsiTheme="minorHAnsi"/>
          <w:lang w:val="en-GB"/>
        </w:rPr>
      </w:pPr>
      <w:r w:rsidRPr="00A93D2A">
        <w:rPr>
          <w:rFonts w:asciiTheme="minorHAnsi" w:hAnsiTheme="minorHAnsi"/>
          <w:b/>
          <w:lang w:val="en-GB"/>
        </w:rPr>
        <w:t>Chlorphenamine</w:t>
      </w:r>
      <w:r w:rsidR="00C331CE">
        <w:rPr>
          <w:rFonts w:asciiTheme="minorHAnsi" w:hAnsiTheme="minorHAnsi"/>
          <w:b/>
          <w:lang w:val="en-GB"/>
        </w:rPr>
        <w:t xml:space="preserve"> (</w:t>
      </w:r>
      <w:r w:rsidRPr="00C331CE">
        <w:rPr>
          <w:rFonts w:asciiTheme="minorHAnsi" w:hAnsiTheme="minorHAnsi"/>
          <w:b/>
          <w:lang w:val="en-GB"/>
        </w:rPr>
        <w:t>maleate</w:t>
      </w:r>
      <w:r w:rsidR="00C331CE">
        <w:rPr>
          <w:rFonts w:asciiTheme="minorHAnsi" w:hAnsiTheme="minorHAnsi"/>
          <w:b/>
          <w:lang w:val="en-GB"/>
        </w:rPr>
        <w:t>)</w:t>
      </w:r>
      <w:r w:rsidRPr="00A93D2A">
        <w:rPr>
          <w:rFonts w:asciiTheme="minorHAnsi" w:hAnsiTheme="minorHAnsi"/>
          <w:lang w:val="en-GB"/>
        </w:rPr>
        <w:t xml:space="preserve"> is chemically related to alkylamines and has potent antihistaminic activity. It acts by blocking histamine H1 receptors, centrally and peripherally. Its atropine and sedative effects produce bronchodilation and mild sedation of cough for 4-6 hours. It reduces the irritation of the nasopharynx and reduces the secretion of the nasal mucosa in case of rhinitis.</w:t>
      </w:r>
    </w:p>
    <w:p w14:paraId="6F472E66" w14:textId="77777777" w:rsidR="00A93D2A" w:rsidRPr="00A93D2A" w:rsidRDefault="00A93D2A" w:rsidP="00A93D2A">
      <w:pPr>
        <w:pStyle w:val="Lijstalinea"/>
        <w:spacing w:after="0"/>
        <w:ind w:left="567"/>
        <w:rPr>
          <w:rFonts w:asciiTheme="minorHAnsi" w:hAnsiTheme="minorHAnsi"/>
          <w:lang w:val="en-GB"/>
        </w:rPr>
      </w:pPr>
    </w:p>
    <w:p w14:paraId="18CBFAC4" w14:textId="77777777" w:rsidR="00AE30FE" w:rsidRPr="007B1BBA" w:rsidRDefault="009B0007" w:rsidP="00423A98">
      <w:pPr>
        <w:spacing w:after="0"/>
        <w:rPr>
          <w:rFonts w:asciiTheme="minorHAnsi" w:hAnsiTheme="minorHAnsi"/>
          <w:b/>
          <w:lang w:val="en-GB"/>
        </w:rPr>
      </w:pPr>
      <w:r w:rsidRPr="007B1BBA">
        <w:rPr>
          <w:rFonts w:asciiTheme="minorHAnsi" w:hAnsiTheme="minorHAnsi"/>
          <w:b/>
          <w:lang w:val="en-GB"/>
        </w:rPr>
        <w:t xml:space="preserve">5.2 </w:t>
      </w:r>
      <w:r w:rsidR="00AE30FE" w:rsidRPr="007B1BBA">
        <w:rPr>
          <w:rFonts w:asciiTheme="minorHAnsi" w:hAnsiTheme="minorHAnsi"/>
          <w:b/>
          <w:lang w:val="en-GB"/>
        </w:rPr>
        <w:t>Pharmacokinetic properties</w:t>
      </w:r>
    </w:p>
    <w:p w14:paraId="645FE07B" w14:textId="77777777" w:rsidR="007B1BBA" w:rsidRDefault="007B1BBA" w:rsidP="007B1BBA">
      <w:pPr>
        <w:pStyle w:val="Lijstalinea"/>
        <w:spacing w:after="0"/>
        <w:rPr>
          <w:rFonts w:asciiTheme="minorHAnsi" w:hAnsiTheme="minorHAnsi"/>
          <w:lang w:val="en-GB"/>
        </w:rPr>
      </w:pPr>
    </w:p>
    <w:p w14:paraId="4D33C020" w14:textId="77777777" w:rsidR="00281EA1" w:rsidRDefault="007B1BBA" w:rsidP="0020378B">
      <w:pPr>
        <w:pStyle w:val="Lijstalinea"/>
        <w:numPr>
          <w:ilvl w:val="0"/>
          <w:numId w:val="22"/>
        </w:numPr>
        <w:spacing w:after="0"/>
        <w:ind w:left="567"/>
        <w:rPr>
          <w:rFonts w:asciiTheme="minorHAnsi" w:hAnsiTheme="minorHAnsi"/>
          <w:lang w:val="en-GB"/>
        </w:rPr>
      </w:pPr>
      <w:r w:rsidRPr="00B81832">
        <w:rPr>
          <w:rFonts w:asciiTheme="minorHAnsi" w:hAnsiTheme="minorHAnsi"/>
          <w:b/>
          <w:lang w:val="en-GB"/>
        </w:rPr>
        <w:t>Paracetamol</w:t>
      </w:r>
      <w:r w:rsidRPr="00B81832">
        <w:rPr>
          <w:rFonts w:asciiTheme="minorHAnsi" w:hAnsiTheme="minorHAnsi"/>
          <w:lang w:val="en-GB"/>
        </w:rPr>
        <w:t xml:space="preserve">, after oral administration, is resorbed entirely in the gastrointestinal tract. Peak plasma concentration is reached after 30 minutes to 1 hour. </w:t>
      </w:r>
      <w:r w:rsidR="00281EA1">
        <w:rPr>
          <w:rFonts w:asciiTheme="minorHAnsi" w:hAnsiTheme="minorHAnsi"/>
          <w:lang w:val="en-GB"/>
        </w:rPr>
        <w:t xml:space="preserve"> The analgesic effect reaches a maximum in 1 to 3 hours and lasts for 3 to 4 hours.</w:t>
      </w:r>
    </w:p>
    <w:p w14:paraId="555E659D" w14:textId="77777777" w:rsidR="007B1BBA" w:rsidRDefault="007B1BBA" w:rsidP="00281EA1">
      <w:pPr>
        <w:pStyle w:val="Lijstalinea"/>
        <w:spacing w:after="0"/>
        <w:ind w:left="567"/>
        <w:rPr>
          <w:rFonts w:asciiTheme="minorHAnsi" w:hAnsiTheme="minorHAnsi"/>
          <w:lang w:val="en-GB"/>
        </w:rPr>
      </w:pPr>
      <w:r w:rsidRPr="00B81832">
        <w:rPr>
          <w:rFonts w:asciiTheme="minorHAnsi" w:hAnsiTheme="minorHAnsi"/>
          <w:lang w:val="en-GB"/>
        </w:rPr>
        <w:t>The plasma half-life of paracetamol is of the order of 2 hours to 2 hours 30. It is weakly bound to plasma proteins (20% to 50%) and is distributed in all body fluids. It is metabolized by the liver, and is eliminated in the urine, mainly in the form of glucuro-conjugated and sulfo-conjugated derivatives. Elimination is complete after 24 hours</w:t>
      </w:r>
      <w:r w:rsidR="00281EA1">
        <w:rPr>
          <w:rFonts w:asciiTheme="minorHAnsi" w:hAnsiTheme="minorHAnsi"/>
          <w:lang w:val="en-GB"/>
        </w:rPr>
        <w:t>.</w:t>
      </w:r>
    </w:p>
    <w:p w14:paraId="216D17A5" w14:textId="77777777" w:rsidR="00770F75" w:rsidRPr="004B61F5" w:rsidRDefault="00B81832" w:rsidP="00B81832">
      <w:pPr>
        <w:pStyle w:val="Lijstalinea"/>
        <w:numPr>
          <w:ilvl w:val="0"/>
          <w:numId w:val="22"/>
        </w:numPr>
        <w:spacing w:after="0"/>
        <w:ind w:left="567"/>
        <w:rPr>
          <w:rFonts w:asciiTheme="minorHAnsi" w:hAnsiTheme="minorHAnsi"/>
          <w:lang w:val="en-GB"/>
        </w:rPr>
      </w:pPr>
      <w:r w:rsidRPr="00B81832">
        <w:rPr>
          <w:rFonts w:asciiTheme="minorHAnsi" w:hAnsiTheme="minorHAnsi"/>
          <w:b/>
          <w:lang w:val="en-GB"/>
        </w:rPr>
        <w:t>Phenylephrine</w:t>
      </w:r>
      <w:r>
        <w:rPr>
          <w:rFonts w:asciiTheme="minorHAnsi" w:hAnsiTheme="minorHAnsi"/>
          <w:b/>
          <w:lang w:val="en-GB"/>
        </w:rPr>
        <w:t xml:space="preserve"> </w:t>
      </w:r>
      <w:r w:rsidRPr="00B81832">
        <w:rPr>
          <w:rFonts w:asciiTheme="minorHAnsi" w:hAnsiTheme="minorHAnsi"/>
          <w:b/>
          <w:lang w:val="en-GB"/>
        </w:rPr>
        <w:t>hydrochloride</w:t>
      </w:r>
      <w:r>
        <w:rPr>
          <w:rFonts w:asciiTheme="minorHAnsi" w:hAnsiTheme="minorHAnsi"/>
          <w:b/>
          <w:lang w:val="en-GB"/>
        </w:rPr>
        <w:t xml:space="preserve"> </w:t>
      </w:r>
      <w:r w:rsidRPr="00B81832">
        <w:rPr>
          <w:rFonts w:asciiTheme="minorHAnsi" w:hAnsiTheme="minorHAnsi"/>
          <w:lang w:val="en-GB"/>
        </w:rPr>
        <w:t>is resorbed after oral administration in a rapid but irregular manner.</w:t>
      </w:r>
      <w:r w:rsidR="00770F75">
        <w:rPr>
          <w:rFonts w:asciiTheme="minorHAnsi" w:hAnsiTheme="minorHAnsi"/>
          <w:lang w:val="en-GB"/>
        </w:rPr>
        <w:t xml:space="preserve"> </w:t>
      </w:r>
      <w:r w:rsidR="00770F75" w:rsidRPr="00770F75">
        <w:rPr>
          <w:rFonts w:asciiTheme="minorHAnsi" w:hAnsiTheme="minorHAnsi"/>
          <w:lang w:val="en-GB"/>
        </w:rPr>
        <w:t>Nasal decongestant action of orally administered phenylephrine starts in 15 to 20 minutes and last</w:t>
      </w:r>
      <w:r w:rsidR="00770F75">
        <w:rPr>
          <w:rFonts w:asciiTheme="minorHAnsi" w:hAnsiTheme="minorHAnsi"/>
          <w:lang w:val="en-GB"/>
        </w:rPr>
        <w:t>s for 2 to 4 hours.</w:t>
      </w:r>
      <w:r w:rsidRPr="00770F75">
        <w:rPr>
          <w:rFonts w:asciiTheme="minorHAnsi" w:hAnsiTheme="minorHAnsi"/>
          <w:lang w:val="en-GB"/>
        </w:rPr>
        <w:t xml:space="preserve"> </w:t>
      </w:r>
    </w:p>
    <w:p w14:paraId="7130E616" w14:textId="77777777" w:rsidR="00B81832" w:rsidRPr="00B81832" w:rsidRDefault="00B81832" w:rsidP="00770F75">
      <w:pPr>
        <w:pStyle w:val="Lijstalinea"/>
        <w:spacing w:after="0"/>
        <w:ind w:left="567"/>
        <w:rPr>
          <w:rFonts w:asciiTheme="minorHAnsi" w:hAnsiTheme="minorHAnsi"/>
          <w:lang w:val="en-GB"/>
        </w:rPr>
      </w:pPr>
      <w:r w:rsidRPr="00B81832">
        <w:rPr>
          <w:rFonts w:asciiTheme="minorHAnsi" w:hAnsiTheme="minorHAnsi"/>
          <w:lang w:val="en-GB"/>
        </w:rPr>
        <w:t>In the gastrointestinal tract and in the liver, phenylephrine is metaboli</w:t>
      </w:r>
      <w:r w:rsidR="00CC0FEE">
        <w:rPr>
          <w:rFonts w:asciiTheme="minorHAnsi" w:hAnsiTheme="minorHAnsi"/>
          <w:lang w:val="en-GB"/>
        </w:rPr>
        <w:t>s</w:t>
      </w:r>
      <w:r w:rsidRPr="00B81832">
        <w:rPr>
          <w:rFonts w:asciiTheme="minorHAnsi" w:hAnsiTheme="minorHAnsi"/>
          <w:lang w:val="en-GB"/>
        </w:rPr>
        <w:t xml:space="preserve">ed by </w:t>
      </w:r>
      <w:r w:rsidR="00CC0FEE" w:rsidRPr="00B81832">
        <w:rPr>
          <w:rFonts w:asciiTheme="minorHAnsi" w:hAnsiTheme="minorHAnsi"/>
          <w:lang w:val="en-GB"/>
        </w:rPr>
        <w:t>monoamin</w:t>
      </w:r>
      <w:r w:rsidR="00CC0FEE">
        <w:rPr>
          <w:rFonts w:asciiTheme="minorHAnsi" w:hAnsiTheme="minorHAnsi"/>
          <w:lang w:val="en-GB"/>
        </w:rPr>
        <w:t>o-</w:t>
      </w:r>
      <w:r w:rsidR="00CC0FEE" w:rsidRPr="00B81832">
        <w:rPr>
          <w:rFonts w:asciiTheme="minorHAnsi" w:hAnsiTheme="minorHAnsi"/>
          <w:lang w:val="en-GB"/>
        </w:rPr>
        <w:t>oxidase</w:t>
      </w:r>
      <w:r w:rsidRPr="00B81832">
        <w:rPr>
          <w:rFonts w:asciiTheme="minorHAnsi" w:hAnsiTheme="minorHAnsi"/>
          <w:lang w:val="en-GB"/>
        </w:rPr>
        <w:t>. The plasma half-life is about 2 to 3 hours. Approximately 80% of the oral dose is excreted in the urine within 24 hours, mainly in the form of sulfonated products of phenylephrine and m-hydroxyphenylglycol; about 30% is excreted as unconjugated m-hydroxymandelic acid.</w:t>
      </w:r>
    </w:p>
    <w:p w14:paraId="7BF7CF54" w14:textId="77777777" w:rsidR="00B81832" w:rsidRPr="00305EC5" w:rsidRDefault="00B81832" w:rsidP="00305EC5">
      <w:pPr>
        <w:pStyle w:val="Lijstalinea"/>
        <w:numPr>
          <w:ilvl w:val="0"/>
          <w:numId w:val="22"/>
        </w:numPr>
        <w:spacing w:after="0"/>
        <w:ind w:left="567"/>
        <w:rPr>
          <w:rFonts w:asciiTheme="minorHAnsi" w:hAnsiTheme="minorHAnsi"/>
          <w:sz w:val="22"/>
          <w:szCs w:val="22"/>
          <w:lang w:val="en-GB"/>
        </w:rPr>
      </w:pPr>
      <w:r w:rsidRPr="00305EC5">
        <w:rPr>
          <w:rFonts w:asciiTheme="minorHAnsi" w:hAnsiTheme="minorHAnsi"/>
          <w:b/>
          <w:lang w:val="en-GB"/>
        </w:rPr>
        <w:t>Chlorphenamine</w:t>
      </w:r>
      <w:r w:rsidRPr="00305EC5">
        <w:rPr>
          <w:rFonts w:asciiTheme="minorHAnsi" w:hAnsiTheme="minorHAnsi"/>
          <w:lang w:val="en-GB"/>
        </w:rPr>
        <w:t xml:space="preserve"> </w:t>
      </w:r>
      <w:r w:rsidRPr="00305EC5">
        <w:rPr>
          <w:rFonts w:asciiTheme="minorHAnsi" w:hAnsiTheme="minorHAnsi"/>
          <w:b/>
          <w:lang w:val="en-GB"/>
        </w:rPr>
        <w:t xml:space="preserve">maleate </w:t>
      </w:r>
      <w:r w:rsidRPr="00305EC5">
        <w:rPr>
          <w:rFonts w:asciiTheme="minorHAnsi" w:hAnsiTheme="minorHAnsi"/>
          <w:lang w:val="en-GB"/>
        </w:rPr>
        <w:t xml:space="preserve">is rapidly and almost completely absorbed by the gastrointestinal tract. </w:t>
      </w:r>
      <w:r w:rsidR="00305EC5" w:rsidRPr="00305EC5">
        <w:rPr>
          <w:rFonts w:asciiTheme="minorHAnsi" w:hAnsiTheme="minorHAnsi"/>
          <w:lang w:val="en"/>
        </w:rPr>
        <w:t xml:space="preserve">The peak of plasma concentrations appears in the interval of 2 to 6 hours of administration. The distribution </w:t>
      </w:r>
      <w:r w:rsidR="00305EC5">
        <w:rPr>
          <w:rFonts w:asciiTheme="minorHAnsi" w:hAnsiTheme="minorHAnsi"/>
          <w:lang w:val="en"/>
        </w:rPr>
        <w:t xml:space="preserve">in </w:t>
      </w:r>
      <w:r w:rsidR="00305EC5" w:rsidRPr="00305EC5">
        <w:rPr>
          <w:rFonts w:asciiTheme="minorHAnsi" w:hAnsiTheme="minorHAnsi"/>
          <w:lang w:val="en"/>
        </w:rPr>
        <w:t xml:space="preserve">tissues and fluids </w:t>
      </w:r>
      <w:r w:rsidR="00305EC5">
        <w:rPr>
          <w:rFonts w:asciiTheme="minorHAnsi" w:hAnsiTheme="minorHAnsi"/>
          <w:lang w:val="en"/>
        </w:rPr>
        <w:t>is</w:t>
      </w:r>
      <w:r w:rsidR="00305EC5" w:rsidRPr="00305EC5">
        <w:rPr>
          <w:rFonts w:asciiTheme="minorHAnsi" w:hAnsiTheme="minorHAnsi"/>
          <w:lang w:val="en"/>
        </w:rPr>
        <w:t xml:space="preserve"> not complete.</w:t>
      </w:r>
      <w:r w:rsidR="00305EC5">
        <w:rPr>
          <w:rFonts w:asciiTheme="minorHAnsi" w:hAnsiTheme="minorHAnsi"/>
          <w:lang w:val="en"/>
        </w:rPr>
        <w:t xml:space="preserve"> </w:t>
      </w:r>
      <w:r w:rsidR="00305EC5" w:rsidRPr="00305EC5">
        <w:rPr>
          <w:sz w:val="22"/>
          <w:szCs w:val="22"/>
          <w:lang w:val="en-GB"/>
        </w:rPr>
        <w:t xml:space="preserve"> </w:t>
      </w:r>
      <w:r w:rsidRPr="00305EC5">
        <w:rPr>
          <w:rFonts w:asciiTheme="minorHAnsi" w:hAnsiTheme="minorHAnsi"/>
          <w:lang w:val="en-GB"/>
        </w:rPr>
        <w:t>The mean plasma half-life is approximately 20 hours in adults (very large differences are recorded); in children, it is markedly shorter. In vitro studies have shown plasma protein binding of approximately 70%. Chlorphenamine is metaboli</w:t>
      </w:r>
      <w:r w:rsidR="00305EC5" w:rsidRPr="00305EC5">
        <w:rPr>
          <w:rFonts w:asciiTheme="minorHAnsi" w:hAnsiTheme="minorHAnsi"/>
          <w:lang w:val="en-GB"/>
        </w:rPr>
        <w:t>s</w:t>
      </w:r>
      <w:r w:rsidRPr="00305EC5">
        <w:rPr>
          <w:rFonts w:asciiTheme="minorHAnsi" w:hAnsiTheme="minorHAnsi"/>
          <w:lang w:val="en-GB"/>
        </w:rPr>
        <w:t>ed in the liver and excreted in the urine, mainly as demethylchlorphenamine and didesmethylchlorphenamine</w:t>
      </w:r>
      <w:r w:rsidRPr="00305EC5">
        <w:rPr>
          <w:rFonts w:asciiTheme="minorHAnsi" w:hAnsiTheme="minorHAnsi"/>
          <w:sz w:val="22"/>
          <w:szCs w:val="22"/>
          <w:lang w:val="en-GB"/>
        </w:rPr>
        <w:t>.</w:t>
      </w:r>
    </w:p>
    <w:p w14:paraId="6CD9B4BC" w14:textId="77777777" w:rsidR="002B3DDF" w:rsidRPr="007B1BBA" w:rsidRDefault="002B3DDF" w:rsidP="00305EC5">
      <w:pPr>
        <w:pStyle w:val="Lijstalinea"/>
        <w:spacing w:after="0"/>
        <w:ind w:left="567"/>
        <w:rPr>
          <w:rFonts w:asciiTheme="minorHAnsi" w:hAnsiTheme="minorHAnsi"/>
          <w:lang w:val="en-GB"/>
        </w:rPr>
      </w:pPr>
    </w:p>
    <w:p w14:paraId="76F78DCC" w14:textId="77777777" w:rsidR="00AE30FE" w:rsidRPr="007B1BBA" w:rsidRDefault="009B0007" w:rsidP="00423A98">
      <w:pPr>
        <w:spacing w:after="0"/>
        <w:rPr>
          <w:rFonts w:asciiTheme="minorHAnsi" w:hAnsiTheme="minorHAnsi"/>
          <w:b/>
          <w:lang w:val="en-GB"/>
        </w:rPr>
      </w:pPr>
      <w:r w:rsidRPr="007B1BBA">
        <w:rPr>
          <w:rFonts w:asciiTheme="minorHAnsi" w:hAnsiTheme="minorHAnsi"/>
          <w:b/>
          <w:lang w:val="en-GB"/>
        </w:rPr>
        <w:t xml:space="preserve">5.3 </w:t>
      </w:r>
      <w:r w:rsidR="00AE30FE" w:rsidRPr="007B1BBA">
        <w:rPr>
          <w:rFonts w:asciiTheme="minorHAnsi" w:hAnsiTheme="minorHAnsi"/>
          <w:b/>
          <w:lang w:val="en-GB"/>
        </w:rPr>
        <w:t>Preclinical safety data</w:t>
      </w:r>
    </w:p>
    <w:p w14:paraId="1207D4E8" w14:textId="77777777" w:rsidR="0020378B" w:rsidRDefault="0020378B" w:rsidP="0020378B">
      <w:pPr>
        <w:pStyle w:val="Lijstalinea"/>
        <w:spacing w:after="0"/>
        <w:ind w:left="426"/>
        <w:rPr>
          <w:rFonts w:asciiTheme="minorHAnsi" w:hAnsiTheme="minorHAnsi"/>
          <w:b/>
          <w:kern w:val="0"/>
          <w:lang w:val="fr-FR" w:eastAsia="en-US"/>
        </w:rPr>
      </w:pPr>
    </w:p>
    <w:p w14:paraId="517F7D41" w14:textId="77777777" w:rsidR="00734746" w:rsidRPr="00E65EFE" w:rsidRDefault="00734746" w:rsidP="00734746">
      <w:pPr>
        <w:pStyle w:val="Lijstalinea"/>
        <w:spacing w:after="0"/>
        <w:ind w:left="426"/>
        <w:rPr>
          <w:rFonts w:asciiTheme="minorHAnsi" w:hAnsiTheme="minorHAnsi"/>
          <w:b/>
          <w:i/>
          <w:kern w:val="0"/>
          <w:lang w:val="fr-FR" w:eastAsia="en-US"/>
        </w:rPr>
      </w:pPr>
      <w:r w:rsidRPr="00E65EFE">
        <w:rPr>
          <w:rFonts w:asciiTheme="minorHAnsi" w:hAnsiTheme="minorHAnsi"/>
          <w:b/>
          <w:i/>
          <w:kern w:val="0"/>
          <w:lang w:val="fr-FR" w:eastAsia="en-US"/>
        </w:rPr>
        <w:t>Paracetamol</w:t>
      </w:r>
    </w:p>
    <w:p w14:paraId="22F51090" w14:textId="77777777" w:rsidR="00734746" w:rsidRPr="00E65EFE" w:rsidRDefault="00734746" w:rsidP="00734746">
      <w:pPr>
        <w:pStyle w:val="Lijstalinea"/>
        <w:numPr>
          <w:ilvl w:val="0"/>
          <w:numId w:val="22"/>
        </w:numPr>
        <w:spacing w:after="0"/>
        <w:ind w:left="786"/>
        <w:rPr>
          <w:rFonts w:asciiTheme="minorHAnsi" w:hAnsiTheme="minorHAnsi"/>
          <w:lang w:val="en-GB"/>
        </w:rPr>
      </w:pPr>
      <w:r w:rsidRPr="00E65EFE">
        <w:rPr>
          <w:rFonts w:asciiTheme="minorHAnsi" w:hAnsiTheme="minorHAnsi"/>
          <w:lang w:val="en-GB"/>
        </w:rPr>
        <w:t>In toxicity studies in rats and mice, gastrointestinal lesions, changes in blood counts, degeneration of hepatic and renal parenchyma, and necrosis were observed. These changes are attributed to both the mechanism of action and the metabolism of paracetamol.</w:t>
      </w:r>
    </w:p>
    <w:p w14:paraId="2E893802" w14:textId="77777777" w:rsidR="00734746" w:rsidRPr="00E65EFE" w:rsidRDefault="00734746" w:rsidP="00734746">
      <w:pPr>
        <w:pStyle w:val="Lijstalinea"/>
        <w:numPr>
          <w:ilvl w:val="0"/>
          <w:numId w:val="22"/>
        </w:numPr>
        <w:spacing w:after="0"/>
        <w:ind w:left="786"/>
        <w:rPr>
          <w:rFonts w:asciiTheme="minorHAnsi" w:hAnsiTheme="minorHAnsi"/>
          <w:lang w:val="en-GB"/>
        </w:rPr>
      </w:pPr>
      <w:r w:rsidRPr="00E65EFE">
        <w:rPr>
          <w:rFonts w:asciiTheme="minorHAnsi" w:hAnsiTheme="minorHAnsi"/>
          <w:lang w:val="en-GB"/>
        </w:rPr>
        <w:t>Extensive research has not shown any relevant genotoxic risk of paracetamol at therapeutic dose.</w:t>
      </w:r>
    </w:p>
    <w:p w14:paraId="61367A71" w14:textId="77777777" w:rsidR="00734746" w:rsidRPr="00E65EFE" w:rsidRDefault="00734746" w:rsidP="00734746">
      <w:pPr>
        <w:pStyle w:val="Lijstalinea"/>
        <w:numPr>
          <w:ilvl w:val="0"/>
          <w:numId w:val="22"/>
        </w:numPr>
        <w:spacing w:after="0"/>
        <w:ind w:left="786"/>
        <w:rPr>
          <w:rFonts w:asciiTheme="minorHAnsi" w:hAnsiTheme="minorHAnsi"/>
          <w:lang w:val="en-GB"/>
        </w:rPr>
      </w:pPr>
      <w:r w:rsidRPr="00E65EFE">
        <w:rPr>
          <w:rFonts w:asciiTheme="minorHAnsi" w:hAnsiTheme="minorHAnsi"/>
          <w:lang w:val="en-GB"/>
        </w:rPr>
        <w:t>Long-term studies in rats and mice showed no relevant carcinogenic effects at non-hepatotoxic doses of paracetamol.</w:t>
      </w:r>
    </w:p>
    <w:p w14:paraId="02043977" w14:textId="77777777" w:rsidR="00734746" w:rsidRPr="00E65EFE" w:rsidRDefault="00734746" w:rsidP="00734746">
      <w:pPr>
        <w:pStyle w:val="Lijstalinea"/>
        <w:numPr>
          <w:ilvl w:val="0"/>
          <w:numId w:val="22"/>
        </w:numPr>
        <w:spacing w:after="0"/>
        <w:ind w:left="786"/>
        <w:rPr>
          <w:rFonts w:asciiTheme="minorHAnsi" w:hAnsiTheme="minorHAnsi"/>
          <w:lang w:val="en-GB"/>
        </w:rPr>
      </w:pPr>
      <w:r w:rsidRPr="00E65EFE">
        <w:rPr>
          <w:rFonts w:asciiTheme="minorHAnsi" w:hAnsiTheme="minorHAnsi"/>
          <w:lang w:val="en-GB"/>
        </w:rPr>
        <w:t>Paracetamol passes the placenta barrier.</w:t>
      </w:r>
    </w:p>
    <w:p w14:paraId="771D39BB" w14:textId="77777777" w:rsidR="00734746" w:rsidRPr="00E65EFE" w:rsidRDefault="00734746" w:rsidP="00734746">
      <w:pPr>
        <w:pStyle w:val="Lijstalinea"/>
        <w:numPr>
          <w:ilvl w:val="0"/>
          <w:numId w:val="22"/>
        </w:numPr>
        <w:spacing w:after="0"/>
        <w:ind w:left="786"/>
        <w:rPr>
          <w:rFonts w:asciiTheme="minorHAnsi" w:hAnsiTheme="minorHAnsi"/>
          <w:lang w:val="en-GB"/>
        </w:rPr>
      </w:pPr>
      <w:r w:rsidRPr="00E65EFE">
        <w:rPr>
          <w:rFonts w:asciiTheme="minorHAnsi" w:hAnsiTheme="minorHAnsi"/>
          <w:lang w:val="en-GB"/>
        </w:rPr>
        <w:t>Studies in animals have shown no reproductive toxicity.</w:t>
      </w:r>
    </w:p>
    <w:p w14:paraId="373CC149" w14:textId="77777777" w:rsidR="00734746" w:rsidRPr="00E65EFE" w:rsidRDefault="00734746" w:rsidP="00734746">
      <w:pPr>
        <w:spacing w:after="0"/>
        <w:ind w:left="219"/>
        <w:rPr>
          <w:rFonts w:asciiTheme="minorHAnsi" w:hAnsiTheme="minorHAnsi"/>
          <w:lang w:val="en-GB"/>
        </w:rPr>
      </w:pPr>
    </w:p>
    <w:p w14:paraId="30CFCBC9" w14:textId="77777777" w:rsidR="0020378B" w:rsidRPr="004B61F5" w:rsidRDefault="00734746" w:rsidP="0020378B">
      <w:pPr>
        <w:pStyle w:val="Lijstalinea"/>
        <w:spacing w:after="0"/>
        <w:ind w:left="426"/>
        <w:rPr>
          <w:rFonts w:asciiTheme="minorHAnsi" w:hAnsiTheme="minorHAnsi"/>
          <w:b/>
          <w:i/>
          <w:kern w:val="0"/>
          <w:lang w:val="en-GB" w:eastAsia="en-US"/>
        </w:rPr>
      </w:pPr>
      <w:r w:rsidRPr="004B61F5">
        <w:rPr>
          <w:rFonts w:asciiTheme="minorHAnsi" w:hAnsiTheme="minorHAnsi"/>
          <w:b/>
          <w:i/>
          <w:kern w:val="0"/>
          <w:lang w:val="en-GB" w:eastAsia="en-US"/>
        </w:rPr>
        <w:t>P</w:t>
      </w:r>
      <w:r w:rsidR="0020378B" w:rsidRPr="004B61F5">
        <w:rPr>
          <w:rFonts w:asciiTheme="minorHAnsi" w:hAnsiTheme="minorHAnsi"/>
          <w:b/>
          <w:i/>
          <w:kern w:val="0"/>
          <w:lang w:val="en-GB" w:eastAsia="en-US"/>
        </w:rPr>
        <w:t>henylephrine</w:t>
      </w:r>
      <w:r w:rsidRPr="004B61F5">
        <w:rPr>
          <w:rFonts w:asciiTheme="minorHAnsi" w:hAnsiTheme="minorHAnsi"/>
          <w:b/>
          <w:i/>
          <w:kern w:val="0"/>
          <w:lang w:val="en-GB" w:eastAsia="en-US"/>
        </w:rPr>
        <w:t xml:space="preserve"> and </w:t>
      </w:r>
      <w:r w:rsidR="00E706C9" w:rsidRPr="004B61F5">
        <w:rPr>
          <w:rFonts w:asciiTheme="minorHAnsi" w:hAnsiTheme="minorHAnsi"/>
          <w:b/>
          <w:i/>
          <w:kern w:val="0"/>
          <w:lang w:val="en-GB" w:eastAsia="en-US"/>
        </w:rPr>
        <w:t>chlorphenamine</w:t>
      </w:r>
    </w:p>
    <w:p w14:paraId="2EC9B5B0" w14:textId="77777777" w:rsidR="0020378B" w:rsidRPr="004B61F5" w:rsidRDefault="0020378B" w:rsidP="0020378B">
      <w:pPr>
        <w:pStyle w:val="Lijstalinea"/>
        <w:spacing w:after="0"/>
        <w:ind w:left="426"/>
        <w:rPr>
          <w:rFonts w:asciiTheme="minorHAnsi" w:hAnsiTheme="minorHAnsi"/>
          <w:kern w:val="0"/>
          <w:lang w:val="en-GB" w:eastAsia="en-US"/>
        </w:rPr>
      </w:pPr>
      <w:r w:rsidRPr="004B61F5">
        <w:rPr>
          <w:rFonts w:asciiTheme="minorHAnsi" w:hAnsiTheme="minorHAnsi"/>
          <w:kern w:val="0"/>
          <w:lang w:val="en-GB" w:eastAsia="en-US"/>
        </w:rPr>
        <w:t xml:space="preserve">No data </w:t>
      </w:r>
      <w:r w:rsidR="00E706C9" w:rsidRPr="004B61F5">
        <w:rPr>
          <w:rFonts w:asciiTheme="minorHAnsi" w:hAnsiTheme="minorHAnsi"/>
          <w:kern w:val="0"/>
          <w:lang w:val="en-GB" w:eastAsia="en-US"/>
        </w:rPr>
        <w:t>available</w:t>
      </w:r>
      <w:r w:rsidRPr="004B61F5">
        <w:rPr>
          <w:rFonts w:asciiTheme="minorHAnsi" w:hAnsiTheme="minorHAnsi"/>
          <w:kern w:val="0"/>
          <w:lang w:val="en-GB" w:eastAsia="en-US"/>
        </w:rPr>
        <w:t>.</w:t>
      </w:r>
    </w:p>
    <w:p w14:paraId="0B4BE859" w14:textId="77777777" w:rsidR="0040300A" w:rsidRDefault="0040300A">
      <w:pPr>
        <w:spacing w:after="0" w:line="240" w:lineRule="auto"/>
        <w:rPr>
          <w:rFonts w:asciiTheme="minorHAnsi" w:hAnsiTheme="minorHAnsi"/>
          <w:sz w:val="22"/>
          <w:szCs w:val="22"/>
          <w:lang w:val="en-GB"/>
        </w:rPr>
      </w:pPr>
      <w:r>
        <w:rPr>
          <w:rFonts w:asciiTheme="minorHAnsi" w:hAnsiTheme="minorHAnsi"/>
          <w:sz w:val="22"/>
          <w:szCs w:val="22"/>
          <w:lang w:val="en-GB"/>
        </w:rPr>
        <w:br w:type="page"/>
      </w:r>
    </w:p>
    <w:p w14:paraId="7A1D55C7" w14:textId="77777777" w:rsidR="00205FA1" w:rsidRPr="0020378B" w:rsidRDefault="00205FA1" w:rsidP="0020378B">
      <w:pPr>
        <w:spacing w:after="0"/>
        <w:rPr>
          <w:rFonts w:asciiTheme="minorHAnsi" w:hAnsiTheme="minorHAnsi"/>
          <w:sz w:val="22"/>
          <w:szCs w:val="22"/>
          <w:lang w:val="en-GB"/>
        </w:rPr>
      </w:pPr>
    </w:p>
    <w:p w14:paraId="52709D04" w14:textId="77777777" w:rsidR="00AE30FE" w:rsidRPr="00205FA1" w:rsidRDefault="009B0007" w:rsidP="00423A98">
      <w:pPr>
        <w:spacing w:after="0"/>
        <w:rPr>
          <w:rFonts w:asciiTheme="minorHAnsi" w:hAnsiTheme="minorHAnsi"/>
          <w:b/>
          <w:lang w:val="en-GB"/>
        </w:rPr>
      </w:pPr>
      <w:r w:rsidRPr="00205FA1">
        <w:rPr>
          <w:rFonts w:asciiTheme="minorHAnsi" w:hAnsiTheme="minorHAnsi"/>
          <w:b/>
          <w:lang w:val="en-GB"/>
        </w:rPr>
        <w:t xml:space="preserve">6- </w:t>
      </w:r>
      <w:r w:rsidR="00AE30FE" w:rsidRPr="00205FA1">
        <w:rPr>
          <w:rFonts w:asciiTheme="minorHAnsi" w:hAnsiTheme="minorHAnsi"/>
          <w:b/>
          <w:lang w:val="en-GB"/>
        </w:rPr>
        <w:t>PHARMACEUTICAL PARTICULARS</w:t>
      </w:r>
    </w:p>
    <w:p w14:paraId="454487AE" w14:textId="77777777" w:rsidR="001178BF" w:rsidRPr="0020378B" w:rsidRDefault="001178BF" w:rsidP="00423A98">
      <w:pPr>
        <w:spacing w:after="0"/>
        <w:rPr>
          <w:rFonts w:asciiTheme="minorHAnsi" w:hAnsiTheme="minorHAnsi"/>
          <w:b/>
          <w:highlight w:val="yellow"/>
          <w:lang w:val="en-GB"/>
        </w:rPr>
      </w:pPr>
    </w:p>
    <w:p w14:paraId="71160742" w14:textId="77777777" w:rsidR="00AE30FE" w:rsidRPr="00205FA1" w:rsidRDefault="009B0007" w:rsidP="00423A98">
      <w:pPr>
        <w:spacing w:after="0"/>
        <w:rPr>
          <w:rFonts w:asciiTheme="minorHAnsi" w:hAnsiTheme="minorHAnsi"/>
          <w:b/>
          <w:lang w:val="en-GB"/>
        </w:rPr>
      </w:pPr>
      <w:r w:rsidRPr="00205FA1">
        <w:rPr>
          <w:rFonts w:asciiTheme="minorHAnsi" w:hAnsiTheme="minorHAnsi"/>
          <w:b/>
          <w:lang w:val="en-GB"/>
        </w:rPr>
        <w:t xml:space="preserve">6.1 </w:t>
      </w:r>
      <w:r w:rsidR="00AE30FE" w:rsidRPr="00205FA1">
        <w:rPr>
          <w:rFonts w:asciiTheme="minorHAnsi" w:hAnsiTheme="minorHAnsi"/>
          <w:b/>
          <w:lang w:val="en-GB"/>
        </w:rPr>
        <w:t>List of excipients</w:t>
      </w:r>
    </w:p>
    <w:p w14:paraId="75216223" w14:textId="77777777" w:rsidR="0020378B" w:rsidRPr="00AD5C2D" w:rsidRDefault="0020378B" w:rsidP="0020378B">
      <w:pPr>
        <w:pStyle w:val="EMEAEnBodyText"/>
        <w:autoSpaceDE w:val="0"/>
        <w:autoSpaceDN w:val="0"/>
        <w:adjustRightInd w:val="0"/>
        <w:spacing w:before="0" w:after="0"/>
        <w:ind w:left="567"/>
        <w:rPr>
          <w:rFonts w:asciiTheme="minorHAnsi" w:hAnsiTheme="minorHAnsi"/>
          <w:sz w:val="24"/>
          <w:szCs w:val="24"/>
          <w:u w:val="single"/>
        </w:rPr>
      </w:pPr>
      <w:r w:rsidRPr="00AD5C2D">
        <w:rPr>
          <w:rFonts w:asciiTheme="minorHAnsi" w:hAnsiTheme="minorHAnsi"/>
          <w:sz w:val="24"/>
          <w:szCs w:val="24"/>
          <w:u w:val="single"/>
        </w:rPr>
        <w:t>Core tablet</w:t>
      </w:r>
    </w:p>
    <w:p w14:paraId="1CBEDFF7" w14:textId="77777777" w:rsidR="00F00476" w:rsidRPr="0040300A" w:rsidRDefault="0020378B" w:rsidP="0020378B">
      <w:pPr>
        <w:pStyle w:val="EMEAEnBodyText"/>
        <w:numPr>
          <w:ilvl w:val="0"/>
          <w:numId w:val="26"/>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 xml:space="preserve">Povidone </w:t>
      </w:r>
    </w:p>
    <w:p w14:paraId="61A2B4F6" w14:textId="77777777" w:rsidR="0020378B" w:rsidRPr="0040300A" w:rsidRDefault="0040300A" w:rsidP="0020378B">
      <w:pPr>
        <w:pStyle w:val="EMEAEnBodyText"/>
        <w:numPr>
          <w:ilvl w:val="0"/>
          <w:numId w:val="26"/>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Colloidal</w:t>
      </w:r>
      <w:r w:rsidR="00F00476" w:rsidRPr="0040300A">
        <w:rPr>
          <w:rFonts w:asciiTheme="minorHAnsi" w:hAnsiTheme="minorHAnsi"/>
          <w:sz w:val="24"/>
          <w:szCs w:val="24"/>
          <w:lang w:val="en-GB"/>
        </w:rPr>
        <w:t xml:space="preserve"> silica</w:t>
      </w:r>
    </w:p>
    <w:p w14:paraId="3A051DFB" w14:textId="77777777" w:rsidR="0020378B" w:rsidRPr="0040300A" w:rsidRDefault="0020378B" w:rsidP="0020378B">
      <w:pPr>
        <w:pStyle w:val="EMEAEnBodyText"/>
        <w:numPr>
          <w:ilvl w:val="0"/>
          <w:numId w:val="26"/>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Micr</w:t>
      </w:r>
      <w:r w:rsidR="00205FA1" w:rsidRPr="0040300A">
        <w:rPr>
          <w:rFonts w:asciiTheme="minorHAnsi" w:hAnsiTheme="minorHAnsi"/>
          <w:sz w:val="24"/>
          <w:szCs w:val="24"/>
          <w:lang w:val="en-GB"/>
        </w:rPr>
        <w:t xml:space="preserve">ocrystalline cellulose </w:t>
      </w:r>
    </w:p>
    <w:p w14:paraId="715BED23" w14:textId="77777777" w:rsidR="0020378B" w:rsidRPr="0040300A" w:rsidRDefault="0020378B" w:rsidP="0020378B">
      <w:pPr>
        <w:pStyle w:val="EMEAEnBodyText"/>
        <w:numPr>
          <w:ilvl w:val="0"/>
          <w:numId w:val="26"/>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 xml:space="preserve">Maize </w:t>
      </w:r>
      <w:r w:rsidR="0040300A" w:rsidRPr="0040300A">
        <w:rPr>
          <w:rFonts w:asciiTheme="minorHAnsi" w:hAnsiTheme="minorHAnsi"/>
          <w:sz w:val="24"/>
          <w:szCs w:val="24"/>
          <w:lang w:val="en-GB"/>
        </w:rPr>
        <w:t>s</w:t>
      </w:r>
      <w:r w:rsidRPr="0040300A">
        <w:rPr>
          <w:rFonts w:asciiTheme="minorHAnsi" w:hAnsiTheme="minorHAnsi"/>
          <w:sz w:val="24"/>
          <w:szCs w:val="24"/>
          <w:lang w:val="en-GB"/>
        </w:rPr>
        <w:t>tarch</w:t>
      </w:r>
    </w:p>
    <w:p w14:paraId="6EA55870" w14:textId="77777777" w:rsidR="0020378B" w:rsidRPr="0040300A" w:rsidRDefault="0020378B" w:rsidP="0020378B">
      <w:pPr>
        <w:pStyle w:val="EMEAEnBodyText"/>
        <w:numPr>
          <w:ilvl w:val="0"/>
          <w:numId w:val="26"/>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 xml:space="preserve">Magnesium </w:t>
      </w:r>
      <w:r w:rsidR="00AD5C2D">
        <w:rPr>
          <w:rFonts w:asciiTheme="minorHAnsi" w:hAnsiTheme="minorHAnsi"/>
          <w:sz w:val="24"/>
          <w:szCs w:val="24"/>
          <w:lang w:val="en-GB"/>
        </w:rPr>
        <w:t>s</w:t>
      </w:r>
      <w:r w:rsidR="00205FA1" w:rsidRPr="0040300A">
        <w:rPr>
          <w:rFonts w:asciiTheme="minorHAnsi" w:hAnsiTheme="minorHAnsi"/>
          <w:sz w:val="24"/>
          <w:szCs w:val="24"/>
          <w:lang w:val="en-GB"/>
        </w:rPr>
        <w:t>tearate</w:t>
      </w:r>
    </w:p>
    <w:p w14:paraId="583EC349" w14:textId="77777777" w:rsidR="0020378B" w:rsidRPr="00AD5C2D" w:rsidRDefault="0020378B" w:rsidP="0020378B">
      <w:pPr>
        <w:pStyle w:val="EMEAEnBodyText"/>
        <w:autoSpaceDE w:val="0"/>
        <w:autoSpaceDN w:val="0"/>
        <w:adjustRightInd w:val="0"/>
        <w:spacing w:before="0" w:after="0"/>
        <w:ind w:left="567"/>
        <w:rPr>
          <w:rFonts w:asciiTheme="minorHAnsi" w:hAnsiTheme="minorHAnsi"/>
          <w:sz w:val="24"/>
          <w:szCs w:val="24"/>
          <w:u w:val="single"/>
          <w:lang w:val="en-GB"/>
        </w:rPr>
      </w:pPr>
      <w:r w:rsidRPr="00AD5C2D">
        <w:rPr>
          <w:rFonts w:asciiTheme="minorHAnsi" w:hAnsiTheme="minorHAnsi"/>
          <w:sz w:val="24"/>
          <w:szCs w:val="24"/>
          <w:u w:val="single"/>
          <w:lang w:val="en-GB"/>
        </w:rPr>
        <w:t>Film</w:t>
      </w:r>
      <w:r w:rsidR="0040300A" w:rsidRPr="00AD5C2D">
        <w:rPr>
          <w:rFonts w:asciiTheme="minorHAnsi" w:hAnsiTheme="minorHAnsi"/>
          <w:sz w:val="24"/>
          <w:szCs w:val="24"/>
          <w:u w:val="single"/>
          <w:lang w:val="en-GB"/>
        </w:rPr>
        <w:t xml:space="preserve"> </w:t>
      </w:r>
      <w:r w:rsidRPr="00AD5C2D">
        <w:rPr>
          <w:rFonts w:asciiTheme="minorHAnsi" w:hAnsiTheme="minorHAnsi"/>
          <w:sz w:val="24"/>
          <w:szCs w:val="24"/>
          <w:u w:val="single"/>
          <w:lang w:val="en-GB"/>
        </w:rPr>
        <w:t xml:space="preserve">coating </w:t>
      </w:r>
    </w:p>
    <w:p w14:paraId="7AD6B86F" w14:textId="77777777" w:rsidR="0020378B" w:rsidRPr="0040300A" w:rsidRDefault="0020378B" w:rsidP="0020378B">
      <w:pPr>
        <w:pStyle w:val="EMEAEnBodyText"/>
        <w:numPr>
          <w:ilvl w:val="0"/>
          <w:numId w:val="27"/>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Hypromellose</w:t>
      </w:r>
      <w:r w:rsidR="0040300A">
        <w:rPr>
          <w:rFonts w:asciiTheme="minorHAnsi" w:hAnsiTheme="minorHAnsi"/>
          <w:sz w:val="24"/>
          <w:szCs w:val="24"/>
          <w:lang w:val="en-GB"/>
        </w:rPr>
        <w:t xml:space="preserve"> (E464)</w:t>
      </w:r>
      <w:r w:rsidRPr="0040300A">
        <w:rPr>
          <w:rFonts w:asciiTheme="minorHAnsi" w:hAnsiTheme="minorHAnsi"/>
          <w:sz w:val="24"/>
          <w:szCs w:val="24"/>
          <w:lang w:val="en-GB"/>
        </w:rPr>
        <w:t xml:space="preserve">, </w:t>
      </w:r>
    </w:p>
    <w:p w14:paraId="1A6E7044" w14:textId="77777777" w:rsidR="0020378B" w:rsidRPr="0040300A" w:rsidRDefault="0020378B" w:rsidP="0020378B">
      <w:pPr>
        <w:pStyle w:val="EMEAEnBodyText"/>
        <w:numPr>
          <w:ilvl w:val="0"/>
          <w:numId w:val="27"/>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Triacetin (E1518),</w:t>
      </w:r>
    </w:p>
    <w:p w14:paraId="19D59096" w14:textId="77777777" w:rsidR="0020378B" w:rsidRPr="0040300A" w:rsidRDefault="0020378B" w:rsidP="0020378B">
      <w:pPr>
        <w:pStyle w:val="EMEAEnBodyText"/>
        <w:numPr>
          <w:ilvl w:val="0"/>
          <w:numId w:val="27"/>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 xml:space="preserve">Indigotine (E132) </w:t>
      </w:r>
    </w:p>
    <w:p w14:paraId="31188097" w14:textId="77777777" w:rsidR="0020378B" w:rsidRPr="0040300A" w:rsidRDefault="0020378B" w:rsidP="0020378B">
      <w:pPr>
        <w:pStyle w:val="EMEAEnBodyText"/>
        <w:numPr>
          <w:ilvl w:val="0"/>
          <w:numId w:val="27"/>
        </w:numPr>
        <w:autoSpaceDE w:val="0"/>
        <w:autoSpaceDN w:val="0"/>
        <w:adjustRightInd w:val="0"/>
        <w:spacing w:before="0" w:after="0"/>
        <w:rPr>
          <w:rFonts w:asciiTheme="minorHAnsi" w:hAnsiTheme="minorHAnsi"/>
          <w:sz w:val="24"/>
          <w:szCs w:val="24"/>
          <w:lang w:val="en-GB"/>
        </w:rPr>
      </w:pPr>
      <w:r w:rsidRPr="0040300A">
        <w:rPr>
          <w:rFonts w:asciiTheme="minorHAnsi" w:hAnsiTheme="minorHAnsi"/>
          <w:sz w:val="24"/>
          <w:szCs w:val="24"/>
          <w:lang w:val="en-GB"/>
        </w:rPr>
        <w:t>Titanium dioxide (E171).</w:t>
      </w:r>
    </w:p>
    <w:p w14:paraId="140A003E" w14:textId="77777777" w:rsidR="002B3DDF" w:rsidRPr="0040300A" w:rsidRDefault="002B3DDF" w:rsidP="00423A98">
      <w:pPr>
        <w:pStyle w:val="Lijstalinea"/>
        <w:spacing w:after="0"/>
        <w:ind w:left="0"/>
        <w:rPr>
          <w:rFonts w:asciiTheme="minorHAnsi" w:hAnsiTheme="minorHAnsi"/>
          <w:lang w:val="en-GB"/>
        </w:rPr>
      </w:pPr>
    </w:p>
    <w:p w14:paraId="5EB806C4"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6.2 </w:t>
      </w:r>
      <w:r w:rsidR="00AE30FE" w:rsidRPr="0040300A">
        <w:rPr>
          <w:rFonts w:asciiTheme="minorHAnsi" w:hAnsiTheme="minorHAnsi"/>
          <w:b/>
          <w:lang w:val="en-GB"/>
        </w:rPr>
        <w:t>Incompatibilities</w:t>
      </w:r>
    </w:p>
    <w:p w14:paraId="54E8688A" w14:textId="77777777" w:rsidR="002B3DDF" w:rsidRPr="0040300A" w:rsidRDefault="0020378B" w:rsidP="00423A98">
      <w:pPr>
        <w:pStyle w:val="Lijstalinea"/>
        <w:spacing w:after="0"/>
        <w:ind w:left="0"/>
        <w:rPr>
          <w:rFonts w:asciiTheme="minorHAnsi" w:hAnsiTheme="minorHAnsi"/>
          <w:lang w:val="en-GB"/>
        </w:rPr>
      </w:pPr>
      <w:r w:rsidRPr="0040300A">
        <w:rPr>
          <w:rFonts w:asciiTheme="minorHAnsi" w:hAnsiTheme="minorHAnsi"/>
          <w:lang w:val="en-GB"/>
        </w:rPr>
        <w:t>No</w:t>
      </w:r>
      <w:r w:rsidR="0040300A">
        <w:rPr>
          <w:rFonts w:asciiTheme="minorHAnsi" w:hAnsiTheme="minorHAnsi"/>
          <w:lang w:val="en-GB"/>
        </w:rPr>
        <w:t>ne</w:t>
      </w:r>
      <w:r w:rsidRPr="0040300A">
        <w:rPr>
          <w:rFonts w:asciiTheme="minorHAnsi" w:hAnsiTheme="minorHAnsi"/>
          <w:lang w:val="en-GB"/>
        </w:rPr>
        <w:t xml:space="preserve"> known</w:t>
      </w:r>
    </w:p>
    <w:p w14:paraId="72FF6014" w14:textId="77777777" w:rsidR="00205FA1" w:rsidRPr="0040300A" w:rsidRDefault="00205FA1" w:rsidP="00423A98">
      <w:pPr>
        <w:pStyle w:val="Lijstalinea"/>
        <w:spacing w:after="0"/>
        <w:ind w:left="0"/>
        <w:rPr>
          <w:rFonts w:asciiTheme="minorHAnsi" w:hAnsiTheme="minorHAnsi"/>
          <w:lang w:val="en-GB"/>
        </w:rPr>
      </w:pPr>
    </w:p>
    <w:p w14:paraId="4A15D953"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6.3 </w:t>
      </w:r>
      <w:r w:rsidR="00AE30FE" w:rsidRPr="0040300A">
        <w:rPr>
          <w:rFonts w:asciiTheme="minorHAnsi" w:hAnsiTheme="minorHAnsi"/>
          <w:b/>
          <w:lang w:val="en-GB"/>
        </w:rPr>
        <w:t>Shelf life</w:t>
      </w:r>
    </w:p>
    <w:p w14:paraId="433F1AF2" w14:textId="77777777" w:rsidR="002B3DDF" w:rsidRPr="0040300A" w:rsidRDefault="00243C12" w:rsidP="00423A98">
      <w:pPr>
        <w:pStyle w:val="Lijstalinea"/>
        <w:spacing w:after="0"/>
        <w:ind w:left="0"/>
        <w:rPr>
          <w:rFonts w:asciiTheme="minorHAnsi" w:hAnsiTheme="minorHAnsi"/>
          <w:lang w:val="en-GB"/>
        </w:rPr>
      </w:pPr>
      <w:r>
        <w:rPr>
          <w:rFonts w:asciiTheme="minorHAnsi" w:hAnsiTheme="minorHAnsi"/>
          <w:lang w:val="en-GB"/>
        </w:rPr>
        <w:t>24 months</w:t>
      </w:r>
    </w:p>
    <w:p w14:paraId="66F98EED" w14:textId="77777777" w:rsidR="00205FA1" w:rsidRPr="0040300A" w:rsidRDefault="00205FA1" w:rsidP="00423A98">
      <w:pPr>
        <w:pStyle w:val="Lijstalinea"/>
        <w:spacing w:after="0"/>
        <w:ind w:left="0"/>
        <w:rPr>
          <w:rFonts w:asciiTheme="minorHAnsi" w:hAnsiTheme="minorHAnsi"/>
          <w:lang w:val="en-GB"/>
        </w:rPr>
      </w:pPr>
    </w:p>
    <w:p w14:paraId="0EED1236" w14:textId="77777777" w:rsidR="00205FA1" w:rsidRPr="0040300A" w:rsidRDefault="009B0007" w:rsidP="00205FA1">
      <w:pPr>
        <w:spacing w:after="0"/>
        <w:rPr>
          <w:rFonts w:asciiTheme="minorHAnsi" w:hAnsiTheme="minorHAnsi"/>
          <w:b/>
          <w:lang w:val="en-GB"/>
        </w:rPr>
      </w:pPr>
      <w:r w:rsidRPr="0040300A">
        <w:rPr>
          <w:rFonts w:asciiTheme="minorHAnsi" w:hAnsiTheme="minorHAnsi"/>
          <w:b/>
          <w:lang w:val="en-GB"/>
        </w:rPr>
        <w:t xml:space="preserve">6.4 </w:t>
      </w:r>
      <w:r w:rsidR="00AE30FE" w:rsidRPr="0040300A">
        <w:rPr>
          <w:rFonts w:asciiTheme="minorHAnsi" w:hAnsiTheme="minorHAnsi"/>
          <w:b/>
          <w:lang w:val="en-GB"/>
        </w:rPr>
        <w:t>Special precautions for storage</w:t>
      </w:r>
    </w:p>
    <w:p w14:paraId="37E05B9D" w14:textId="77777777" w:rsidR="00205FA1" w:rsidRPr="0040300A" w:rsidRDefault="00205FA1" w:rsidP="00205FA1">
      <w:pPr>
        <w:rPr>
          <w:rFonts w:asciiTheme="minorHAnsi" w:hAnsiTheme="minorHAnsi"/>
          <w:lang w:val="en-GB"/>
        </w:rPr>
      </w:pPr>
      <w:r w:rsidRPr="0040300A">
        <w:rPr>
          <w:rFonts w:asciiTheme="minorHAnsi" w:hAnsiTheme="minorHAnsi"/>
          <w:lang w:val="en-GB"/>
        </w:rPr>
        <w:t>Store below 30°C</w:t>
      </w:r>
      <w:r w:rsidR="00243C12">
        <w:rPr>
          <w:rFonts w:asciiTheme="minorHAnsi" w:hAnsiTheme="minorHAnsi"/>
          <w:lang w:val="en-GB"/>
        </w:rPr>
        <w:t xml:space="preserve">, </w:t>
      </w:r>
      <w:r w:rsidRPr="0040300A">
        <w:rPr>
          <w:rFonts w:asciiTheme="minorHAnsi" w:hAnsiTheme="minorHAnsi"/>
          <w:lang w:val="en-GB"/>
        </w:rPr>
        <w:t xml:space="preserve"> in the original package</w:t>
      </w:r>
      <w:r w:rsidR="00243C12">
        <w:rPr>
          <w:rFonts w:asciiTheme="minorHAnsi" w:hAnsiTheme="minorHAnsi"/>
          <w:lang w:val="en-GB"/>
        </w:rPr>
        <w:t xml:space="preserve"> to p</w:t>
      </w:r>
      <w:r w:rsidRPr="0040300A">
        <w:rPr>
          <w:rFonts w:asciiTheme="minorHAnsi" w:hAnsiTheme="minorHAnsi"/>
          <w:lang w:val="en-GB"/>
        </w:rPr>
        <w:t xml:space="preserve">rotect from light and humidity. </w:t>
      </w:r>
    </w:p>
    <w:p w14:paraId="35276024"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6.5 </w:t>
      </w:r>
      <w:r w:rsidR="00AE30FE" w:rsidRPr="0040300A">
        <w:rPr>
          <w:rFonts w:asciiTheme="minorHAnsi" w:hAnsiTheme="minorHAnsi"/>
          <w:b/>
          <w:lang w:val="en-GB"/>
        </w:rPr>
        <w:t>Nature and contents of container</w:t>
      </w:r>
    </w:p>
    <w:p w14:paraId="42A01135" w14:textId="77777777" w:rsidR="00BC62F1" w:rsidRDefault="00BC62F1" w:rsidP="00423A98">
      <w:pPr>
        <w:pStyle w:val="Lijstalinea"/>
        <w:spacing w:after="0"/>
        <w:ind w:left="0"/>
        <w:rPr>
          <w:rFonts w:asciiTheme="minorHAnsi" w:hAnsiTheme="minorHAnsi"/>
          <w:lang w:val="en-GB"/>
        </w:rPr>
      </w:pPr>
    </w:p>
    <w:p w14:paraId="11C0E6B6" w14:textId="77777777" w:rsidR="00BC62F1" w:rsidRDefault="00BC62F1" w:rsidP="00423A98">
      <w:pPr>
        <w:pStyle w:val="Lijstalinea"/>
        <w:spacing w:after="0"/>
        <w:ind w:left="0"/>
        <w:rPr>
          <w:rFonts w:asciiTheme="minorHAnsi" w:hAnsiTheme="minorHAnsi"/>
          <w:lang w:val="en-GB"/>
        </w:rPr>
      </w:pPr>
      <w:r>
        <w:rPr>
          <w:rFonts w:asciiTheme="minorHAnsi" w:hAnsiTheme="minorHAnsi"/>
          <w:lang w:val="en-GB"/>
        </w:rPr>
        <w:t xml:space="preserve">The </w:t>
      </w:r>
      <w:r w:rsidR="00205FA1" w:rsidRPr="0040300A">
        <w:rPr>
          <w:rFonts w:asciiTheme="minorHAnsi" w:hAnsiTheme="minorHAnsi"/>
          <w:lang w:val="en-GB"/>
        </w:rPr>
        <w:t xml:space="preserve"> film coated tablets are packed in </w:t>
      </w:r>
      <w:r>
        <w:rPr>
          <w:rFonts w:asciiTheme="minorHAnsi" w:hAnsiTheme="minorHAnsi"/>
          <w:lang w:val="en-GB"/>
        </w:rPr>
        <w:t xml:space="preserve">a </w:t>
      </w:r>
      <w:r w:rsidR="00205FA1" w:rsidRPr="0040300A">
        <w:rPr>
          <w:rFonts w:asciiTheme="minorHAnsi" w:hAnsiTheme="minorHAnsi"/>
          <w:lang w:val="en-GB"/>
        </w:rPr>
        <w:t>PVC/Alu blister.</w:t>
      </w:r>
    </w:p>
    <w:p w14:paraId="305FA065" w14:textId="77777777" w:rsidR="002B3DDF" w:rsidRPr="0040300A" w:rsidRDefault="00BC62F1" w:rsidP="00423A98">
      <w:pPr>
        <w:pStyle w:val="Lijstalinea"/>
        <w:spacing w:after="0"/>
        <w:ind w:left="0"/>
        <w:rPr>
          <w:rFonts w:asciiTheme="minorHAnsi" w:hAnsiTheme="minorHAnsi"/>
          <w:lang w:val="en-GB"/>
        </w:rPr>
      </w:pPr>
      <w:r>
        <w:rPr>
          <w:rFonts w:asciiTheme="minorHAnsi" w:hAnsiTheme="minorHAnsi"/>
          <w:lang w:val="en-GB"/>
        </w:rPr>
        <w:t>Presentation : carboard box with 20 tablets (</w:t>
      </w:r>
      <w:r w:rsidR="00205FA1" w:rsidRPr="0040300A">
        <w:rPr>
          <w:rFonts w:asciiTheme="minorHAnsi" w:hAnsiTheme="minorHAnsi"/>
          <w:lang w:val="en-GB"/>
        </w:rPr>
        <w:t xml:space="preserve"> 2 blisters </w:t>
      </w:r>
      <w:r>
        <w:rPr>
          <w:rFonts w:asciiTheme="minorHAnsi" w:hAnsiTheme="minorHAnsi"/>
          <w:lang w:val="en-GB"/>
        </w:rPr>
        <w:t xml:space="preserve">of 10 tablets) </w:t>
      </w:r>
      <w:r w:rsidR="00205FA1" w:rsidRPr="0040300A">
        <w:rPr>
          <w:rFonts w:asciiTheme="minorHAnsi" w:hAnsiTheme="minorHAnsi"/>
          <w:lang w:val="en-GB"/>
        </w:rPr>
        <w:t>along with leaflet.</w:t>
      </w:r>
    </w:p>
    <w:p w14:paraId="5F991915" w14:textId="77777777" w:rsidR="00205FA1" w:rsidRPr="0040300A" w:rsidRDefault="00205FA1" w:rsidP="00423A98">
      <w:pPr>
        <w:pStyle w:val="Lijstalinea"/>
        <w:spacing w:after="0"/>
        <w:ind w:left="0"/>
        <w:rPr>
          <w:rFonts w:asciiTheme="minorHAnsi" w:hAnsiTheme="minorHAnsi"/>
          <w:lang w:val="en-GB"/>
        </w:rPr>
      </w:pPr>
    </w:p>
    <w:p w14:paraId="0F642508"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6.6 </w:t>
      </w:r>
      <w:r w:rsidR="00AE30FE" w:rsidRPr="0040300A">
        <w:rPr>
          <w:rFonts w:asciiTheme="minorHAnsi" w:hAnsiTheme="minorHAnsi"/>
          <w:b/>
          <w:lang w:val="en-GB"/>
        </w:rPr>
        <w:t>Special precautions for disposal and other handlings</w:t>
      </w:r>
    </w:p>
    <w:p w14:paraId="0FED54B0" w14:textId="77777777" w:rsidR="00205FA1" w:rsidRPr="0040300A" w:rsidRDefault="00205FA1" w:rsidP="00205FA1">
      <w:pPr>
        <w:pStyle w:val="Lijstalinea"/>
        <w:spacing w:after="0"/>
        <w:ind w:left="0"/>
        <w:rPr>
          <w:rFonts w:asciiTheme="minorHAnsi" w:hAnsiTheme="minorHAnsi"/>
          <w:lang w:val="en-GB"/>
        </w:rPr>
      </w:pPr>
      <w:r w:rsidRPr="0040300A">
        <w:rPr>
          <w:rFonts w:asciiTheme="minorHAnsi" w:hAnsiTheme="minorHAnsi"/>
          <w:lang w:val="en-GB"/>
        </w:rPr>
        <w:t>Any unused product or waste material should be disposed of in accordance with local requirements.</w:t>
      </w:r>
    </w:p>
    <w:p w14:paraId="1ED6A0EE" w14:textId="77777777" w:rsidR="006E3D8F" w:rsidRDefault="006E3D8F">
      <w:pPr>
        <w:spacing w:after="0" w:line="240" w:lineRule="auto"/>
        <w:rPr>
          <w:rFonts w:asciiTheme="minorHAnsi" w:eastAsia="Times New Roman" w:hAnsiTheme="minorHAnsi"/>
          <w:highlight w:val="yellow"/>
          <w:lang w:val="en-GB"/>
        </w:rPr>
      </w:pPr>
      <w:r>
        <w:rPr>
          <w:rFonts w:asciiTheme="minorHAnsi" w:hAnsiTheme="minorHAnsi"/>
          <w:highlight w:val="yellow"/>
          <w:lang w:val="en-GB"/>
        </w:rPr>
        <w:br w:type="page"/>
      </w:r>
    </w:p>
    <w:p w14:paraId="2AE89EC2" w14:textId="77777777" w:rsidR="002B3DDF" w:rsidRPr="0040300A" w:rsidRDefault="002B3DDF" w:rsidP="00423A98">
      <w:pPr>
        <w:pStyle w:val="Lijstalinea"/>
        <w:spacing w:after="0"/>
        <w:ind w:left="0"/>
        <w:rPr>
          <w:rFonts w:asciiTheme="minorHAnsi" w:hAnsiTheme="minorHAnsi"/>
          <w:highlight w:val="yellow"/>
          <w:lang w:val="en-GB"/>
        </w:rPr>
      </w:pPr>
    </w:p>
    <w:p w14:paraId="391F3937"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7- </w:t>
      </w:r>
      <w:r w:rsidR="00AE30FE" w:rsidRPr="0040300A">
        <w:rPr>
          <w:rFonts w:asciiTheme="minorHAnsi" w:hAnsiTheme="minorHAnsi"/>
          <w:b/>
          <w:lang w:val="en-GB"/>
        </w:rPr>
        <w:t>MARKETING AUTHORISATION HOLDER AND MANUFACURING SITE ADDRESS</w:t>
      </w:r>
    </w:p>
    <w:p w14:paraId="7DE2CA6B" w14:textId="77777777" w:rsidR="001178BF" w:rsidRPr="0040300A" w:rsidRDefault="001178BF" w:rsidP="00423A98">
      <w:pPr>
        <w:pStyle w:val="Lijstalinea"/>
        <w:spacing w:after="0"/>
        <w:ind w:left="0"/>
        <w:rPr>
          <w:rFonts w:asciiTheme="minorHAnsi" w:hAnsiTheme="minorHAnsi"/>
          <w:b/>
          <w:lang w:val="en-GB"/>
        </w:rPr>
      </w:pPr>
    </w:p>
    <w:p w14:paraId="007C6A1B" w14:textId="77777777" w:rsidR="002B3DDF" w:rsidRPr="004B61F5" w:rsidRDefault="009B0007" w:rsidP="00423A98">
      <w:pPr>
        <w:spacing w:after="0"/>
        <w:rPr>
          <w:rFonts w:asciiTheme="minorHAnsi" w:hAnsiTheme="minorHAnsi"/>
          <w:b/>
          <w:lang w:val="de-DE"/>
        </w:rPr>
      </w:pPr>
      <w:r w:rsidRPr="004B61F5">
        <w:rPr>
          <w:rFonts w:asciiTheme="minorHAnsi" w:hAnsiTheme="minorHAnsi"/>
          <w:b/>
          <w:lang w:val="de-DE"/>
        </w:rPr>
        <w:t xml:space="preserve">7.1 </w:t>
      </w:r>
      <w:r w:rsidR="002B3DDF" w:rsidRPr="004B61F5">
        <w:rPr>
          <w:rFonts w:asciiTheme="minorHAnsi" w:hAnsiTheme="minorHAnsi"/>
          <w:b/>
          <w:lang w:val="de-DE"/>
        </w:rPr>
        <w:t>Marketing Authorisation Holder</w:t>
      </w:r>
    </w:p>
    <w:p w14:paraId="3FFF2B68" w14:textId="77777777" w:rsidR="0020378B" w:rsidRPr="004B61F5" w:rsidRDefault="0020378B" w:rsidP="0020378B">
      <w:pPr>
        <w:suppressAutoHyphens/>
        <w:ind w:left="567"/>
        <w:rPr>
          <w:rFonts w:asciiTheme="minorHAnsi" w:hAnsiTheme="minorHAnsi"/>
          <w:lang w:val="de-DE"/>
        </w:rPr>
      </w:pPr>
      <w:r w:rsidRPr="004B61F5">
        <w:rPr>
          <w:rFonts w:asciiTheme="minorHAnsi" w:hAnsiTheme="minorHAnsi"/>
          <w:lang w:val="de-DE"/>
        </w:rPr>
        <w:t>Dafra Pharma GmbH, Mühlenberg 7, 4052 B</w:t>
      </w:r>
      <w:r w:rsidR="00205FA1" w:rsidRPr="004B61F5">
        <w:rPr>
          <w:rFonts w:asciiTheme="minorHAnsi" w:hAnsiTheme="minorHAnsi"/>
          <w:lang w:val="de-DE"/>
        </w:rPr>
        <w:t>asel</w:t>
      </w:r>
      <w:r w:rsidRPr="004B61F5">
        <w:rPr>
          <w:rFonts w:asciiTheme="minorHAnsi" w:hAnsiTheme="minorHAnsi"/>
          <w:lang w:val="de-DE"/>
        </w:rPr>
        <w:t>, S</w:t>
      </w:r>
      <w:r w:rsidR="00205FA1" w:rsidRPr="004B61F5">
        <w:rPr>
          <w:rFonts w:asciiTheme="minorHAnsi" w:hAnsiTheme="minorHAnsi"/>
          <w:lang w:val="de-DE"/>
        </w:rPr>
        <w:t>witzerland</w:t>
      </w:r>
      <w:r w:rsidRPr="004B61F5">
        <w:rPr>
          <w:rFonts w:asciiTheme="minorHAnsi" w:hAnsiTheme="minorHAnsi"/>
          <w:lang w:val="de-DE"/>
        </w:rPr>
        <w:t>.</w:t>
      </w:r>
    </w:p>
    <w:p w14:paraId="3B3104F5" w14:textId="77777777" w:rsidR="002B3DDF" w:rsidRPr="004B61F5" w:rsidRDefault="009B0007" w:rsidP="00423A98">
      <w:pPr>
        <w:spacing w:after="0"/>
        <w:rPr>
          <w:rFonts w:asciiTheme="minorHAnsi" w:hAnsiTheme="minorHAnsi"/>
          <w:b/>
          <w:lang w:val="de-DE"/>
        </w:rPr>
      </w:pPr>
      <w:r w:rsidRPr="004B61F5">
        <w:rPr>
          <w:rFonts w:asciiTheme="minorHAnsi" w:hAnsiTheme="minorHAnsi"/>
          <w:b/>
          <w:lang w:val="de-DE"/>
        </w:rPr>
        <w:t>7.2</w:t>
      </w:r>
      <w:r w:rsidR="001178BF" w:rsidRPr="004B61F5">
        <w:rPr>
          <w:rFonts w:asciiTheme="minorHAnsi" w:hAnsiTheme="minorHAnsi"/>
          <w:b/>
          <w:lang w:val="de-DE"/>
        </w:rPr>
        <w:t xml:space="preserve"> </w:t>
      </w:r>
      <w:r w:rsidR="002B3DDF" w:rsidRPr="004B61F5">
        <w:rPr>
          <w:rFonts w:asciiTheme="minorHAnsi" w:hAnsiTheme="minorHAnsi"/>
          <w:b/>
          <w:lang w:val="de-DE"/>
        </w:rPr>
        <w:t>Manufacturer</w:t>
      </w:r>
    </w:p>
    <w:p w14:paraId="6297F794" w14:textId="77777777" w:rsidR="00205FA1" w:rsidRPr="0040300A" w:rsidRDefault="00205FA1" w:rsidP="00205FA1">
      <w:pPr>
        <w:pStyle w:val="Lijstalinea"/>
        <w:ind w:left="432"/>
        <w:rPr>
          <w:rFonts w:asciiTheme="minorHAnsi" w:hAnsiTheme="minorHAnsi"/>
          <w:lang w:val="en-GB"/>
        </w:rPr>
      </w:pPr>
      <w:bookmarkStart w:id="0" w:name="_Hlk5124282"/>
      <w:r w:rsidRPr="004B61F5">
        <w:rPr>
          <w:rFonts w:asciiTheme="minorHAnsi" w:hAnsiTheme="minorHAnsi"/>
          <w:caps/>
          <w:lang w:val="de-DE"/>
        </w:rPr>
        <w:t>ATABAY İLAÇ FABRİKAS</w:t>
      </w:r>
      <w:r w:rsidR="006E3D8F" w:rsidRPr="004B61F5">
        <w:rPr>
          <w:rFonts w:asciiTheme="minorHAnsi" w:hAnsiTheme="minorHAnsi"/>
          <w:caps/>
          <w:lang w:val="de-DE"/>
        </w:rPr>
        <w:t>ı</w:t>
      </w:r>
      <w:r w:rsidRPr="004B61F5">
        <w:rPr>
          <w:rFonts w:asciiTheme="minorHAnsi" w:hAnsiTheme="minorHAnsi"/>
          <w:lang w:val="de-DE"/>
        </w:rPr>
        <w:t xml:space="preserve"> A.Ş., Ac</w:t>
      </w:r>
      <w:r w:rsidR="006E3D8F" w:rsidRPr="004B61F5">
        <w:rPr>
          <w:rFonts w:asciiTheme="minorHAnsi" w:hAnsiTheme="minorHAnsi"/>
          <w:lang w:val="de-DE"/>
        </w:rPr>
        <w:t>ı</w:t>
      </w:r>
      <w:r w:rsidRPr="004B61F5">
        <w:rPr>
          <w:rFonts w:asciiTheme="minorHAnsi" w:hAnsiTheme="minorHAnsi"/>
          <w:lang w:val="de-DE"/>
        </w:rPr>
        <w:t xml:space="preserve">badem, Köftüncü sok. </w:t>
      </w:r>
      <w:r w:rsidRPr="0040300A">
        <w:rPr>
          <w:rFonts w:asciiTheme="minorHAnsi" w:hAnsiTheme="minorHAnsi"/>
          <w:lang w:val="en-GB"/>
        </w:rPr>
        <w:t xml:space="preserve">No:1 </w:t>
      </w:r>
    </w:p>
    <w:p w14:paraId="7B01DB07" w14:textId="77777777" w:rsidR="002B3DDF" w:rsidRPr="0040300A" w:rsidRDefault="00205FA1" w:rsidP="00205FA1">
      <w:pPr>
        <w:pStyle w:val="Lijstalinea"/>
        <w:ind w:left="432"/>
        <w:rPr>
          <w:rFonts w:asciiTheme="minorHAnsi" w:hAnsiTheme="minorHAnsi"/>
          <w:lang w:val="en-GB"/>
        </w:rPr>
      </w:pPr>
      <w:r w:rsidRPr="0040300A">
        <w:rPr>
          <w:rFonts w:asciiTheme="minorHAnsi" w:hAnsiTheme="minorHAnsi"/>
          <w:lang w:val="en-GB"/>
        </w:rPr>
        <w:t>34718 Kadıköy / İSTANBUL, Turkey</w:t>
      </w:r>
    </w:p>
    <w:p w14:paraId="113C9BD3" w14:textId="77777777" w:rsidR="00205FA1" w:rsidRPr="0040300A" w:rsidRDefault="00205FA1" w:rsidP="00205FA1">
      <w:pPr>
        <w:pStyle w:val="Lijstalinea"/>
        <w:spacing w:after="0"/>
        <w:ind w:left="0"/>
        <w:rPr>
          <w:rFonts w:asciiTheme="minorHAnsi" w:hAnsiTheme="minorHAnsi"/>
          <w:lang w:val="en-GB"/>
        </w:rPr>
      </w:pPr>
    </w:p>
    <w:bookmarkEnd w:id="0"/>
    <w:p w14:paraId="5D329FEE" w14:textId="77777777" w:rsidR="00AE30FE"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8- </w:t>
      </w:r>
      <w:r w:rsidR="00AE30FE" w:rsidRPr="0040300A">
        <w:rPr>
          <w:rFonts w:asciiTheme="minorHAnsi" w:hAnsiTheme="minorHAnsi"/>
          <w:b/>
          <w:lang w:val="en-GB"/>
        </w:rPr>
        <w:t>MARKETING AUHORISATION NUMBER</w:t>
      </w:r>
    </w:p>
    <w:p w14:paraId="7A2E42BA" w14:textId="77777777" w:rsidR="00553871" w:rsidRPr="0040300A" w:rsidRDefault="00553871" w:rsidP="00423A98">
      <w:pPr>
        <w:spacing w:after="0"/>
        <w:rPr>
          <w:rFonts w:asciiTheme="minorHAnsi" w:hAnsiTheme="minorHAnsi"/>
          <w:lang w:val="en-GB"/>
        </w:rPr>
      </w:pPr>
      <w:r w:rsidRPr="0040300A">
        <w:rPr>
          <w:rFonts w:asciiTheme="minorHAnsi" w:hAnsiTheme="minorHAnsi"/>
          <w:lang w:val="en-GB"/>
        </w:rPr>
        <w:t>See list of MAs per country</w:t>
      </w:r>
    </w:p>
    <w:p w14:paraId="5BC2CE88" w14:textId="77777777" w:rsidR="00205FA1" w:rsidRPr="0040300A" w:rsidRDefault="00205FA1" w:rsidP="00423A98">
      <w:pPr>
        <w:spacing w:after="0"/>
        <w:rPr>
          <w:rFonts w:asciiTheme="minorHAnsi" w:hAnsiTheme="minorHAnsi"/>
          <w:lang w:val="en-GB"/>
        </w:rPr>
      </w:pPr>
    </w:p>
    <w:p w14:paraId="5B7A2613" w14:textId="77777777" w:rsidR="00EA7F33" w:rsidRPr="0040300A" w:rsidRDefault="009B0007" w:rsidP="00423A98">
      <w:pPr>
        <w:spacing w:after="0"/>
        <w:rPr>
          <w:rFonts w:asciiTheme="minorHAnsi" w:hAnsiTheme="minorHAnsi"/>
          <w:b/>
          <w:lang w:val="en-GB"/>
        </w:rPr>
      </w:pPr>
      <w:r w:rsidRPr="0040300A">
        <w:rPr>
          <w:rFonts w:asciiTheme="minorHAnsi" w:hAnsiTheme="minorHAnsi"/>
          <w:b/>
          <w:lang w:val="en-GB"/>
        </w:rPr>
        <w:t xml:space="preserve">9- </w:t>
      </w:r>
      <w:r w:rsidR="00EA7F33" w:rsidRPr="0040300A">
        <w:rPr>
          <w:rFonts w:asciiTheme="minorHAnsi" w:hAnsiTheme="minorHAnsi"/>
          <w:b/>
          <w:lang w:val="en-GB"/>
        </w:rPr>
        <w:t xml:space="preserve">DATE OF FIRST REGISTRATION </w:t>
      </w:r>
    </w:p>
    <w:p w14:paraId="78138B9A" w14:textId="77777777" w:rsidR="00553871" w:rsidRPr="0040300A" w:rsidRDefault="00553871" w:rsidP="00423A98">
      <w:pPr>
        <w:spacing w:after="0"/>
        <w:rPr>
          <w:rFonts w:asciiTheme="minorHAnsi" w:hAnsiTheme="minorHAnsi"/>
          <w:lang w:val="en-GB"/>
        </w:rPr>
      </w:pPr>
      <w:r w:rsidRPr="0040300A">
        <w:rPr>
          <w:rFonts w:asciiTheme="minorHAnsi" w:hAnsiTheme="minorHAnsi"/>
          <w:lang w:val="en-GB"/>
        </w:rPr>
        <w:t>See list of MAs per country</w:t>
      </w:r>
    </w:p>
    <w:p w14:paraId="20DF97F2" w14:textId="77777777" w:rsidR="00205FA1" w:rsidRPr="0040300A" w:rsidRDefault="00205FA1" w:rsidP="00423A98">
      <w:pPr>
        <w:spacing w:after="0"/>
        <w:rPr>
          <w:rFonts w:asciiTheme="minorHAnsi" w:hAnsiTheme="minorHAnsi"/>
          <w:lang w:val="en-GB"/>
        </w:rPr>
      </w:pPr>
    </w:p>
    <w:p w14:paraId="3CD4E246" w14:textId="77777777" w:rsidR="00EA7F33" w:rsidRPr="00205FA1" w:rsidRDefault="009B0007" w:rsidP="00423A98">
      <w:pPr>
        <w:spacing w:after="0"/>
        <w:rPr>
          <w:rFonts w:asciiTheme="minorHAnsi" w:hAnsiTheme="minorHAnsi"/>
          <w:b/>
        </w:rPr>
      </w:pPr>
      <w:r w:rsidRPr="00205FA1">
        <w:rPr>
          <w:rFonts w:asciiTheme="minorHAnsi" w:hAnsiTheme="minorHAnsi"/>
          <w:b/>
        </w:rPr>
        <w:t xml:space="preserve">10- </w:t>
      </w:r>
      <w:r w:rsidR="00EA7F33" w:rsidRPr="00205FA1">
        <w:rPr>
          <w:rFonts w:asciiTheme="minorHAnsi" w:hAnsiTheme="minorHAnsi"/>
          <w:b/>
        </w:rPr>
        <w:t>DATE OF REVISION OF TEXT</w:t>
      </w:r>
    </w:p>
    <w:p w14:paraId="4DF97C95" w14:textId="591ED7A5" w:rsidR="002B3DDF" w:rsidRPr="006E3D8F" w:rsidRDefault="00AF6281" w:rsidP="00423A98">
      <w:pPr>
        <w:pStyle w:val="Lijstalinea"/>
        <w:spacing w:after="0"/>
        <w:ind w:left="0"/>
        <w:rPr>
          <w:rFonts w:asciiTheme="minorHAnsi" w:hAnsiTheme="minorHAnsi"/>
        </w:rPr>
      </w:pPr>
      <w:r>
        <w:rPr>
          <w:rFonts w:asciiTheme="minorHAnsi" w:hAnsiTheme="minorHAnsi"/>
        </w:rPr>
        <w:t>April</w:t>
      </w:r>
      <w:bookmarkStart w:id="1" w:name="_GoBack"/>
      <w:bookmarkEnd w:id="1"/>
      <w:r w:rsidR="0020378B" w:rsidRPr="006E3D8F">
        <w:rPr>
          <w:rFonts w:asciiTheme="minorHAnsi" w:hAnsiTheme="minorHAnsi"/>
        </w:rPr>
        <w:t xml:space="preserve"> 2019</w:t>
      </w:r>
    </w:p>
    <w:p w14:paraId="772D4235" w14:textId="77777777" w:rsidR="002B3DDF" w:rsidRPr="00FF5E52" w:rsidRDefault="002B3DDF" w:rsidP="00423A98">
      <w:pPr>
        <w:pStyle w:val="Lijstalinea"/>
        <w:spacing w:after="0"/>
        <w:ind w:left="0"/>
        <w:rPr>
          <w:rFonts w:asciiTheme="minorHAnsi" w:hAnsiTheme="minorHAnsi"/>
        </w:rPr>
      </w:pPr>
    </w:p>
    <w:sectPr w:rsidR="002B3DDF" w:rsidRPr="00FF5E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1D6B" w14:textId="77777777" w:rsidR="00733B42" w:rsidRDefault="00733B42" w:rsidP="000A2791">
      <w:pPr>
        <w:spacing w:after="0" w:line="240" w:lineRule="auto"/>
      </w:pPr>
      <w:r>
        <w:separator/>
      </w:r>
    </w:p>
  </w:endnote>
  <w:endnote w:type="continuationSeparator" w:id="0">
    <w:p w14:paraId="4BA7EB77" w14:textId="77777777" w:rsidR="00733B42" w:rsidRDefault="00733B42"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1B42" w14:textId="210DC53C" w:rsidR="008B1E32" w:rsidRPr="005C5CE1" w:rsidRDefault="00FF5E52" w:rsidP="00FD40F1">
    <w:pPr>
      <w:pStyle w:val="Voettekst"/>
      <w:rPr>
        <w:rFonts w:asciiTheme="minorHAnsi" w:hAnsiTheme="minorHAnsi" w:cstheme="minorHAnsi"/>
        <w:sz w:val="22"/>
        <w:szCs w:val="22"/>
        <w:lang w:val="en-GB"/>
      </w:rPr>
    </w:pPr>
    <w:r w:rsidRPr="005C5CE1">
      <w:rPr>
        <w:lang w:val="en-GB"/>
      </w:rPr>
      <w:t xml:space="preserve">EP </w:t>
    </w:r>
    <w:r w:rsidR="001178BF" w:rsidRPr="005C5CE1">
      <w:rPr>
        <w:lang w:val="en-GB"/>
      </w:rPr>
      <w:t xml:space="preserve">February </w:t>
    </w:r>
    <w:r w:rsidR="00FD40F1" w:rsidRPr="005C5CE1">
      <w:rPr>
        <w:lang w:val="en-GB"/>
      </w:rPr>
      <w:t>2019</w:t>
    </w:r>
    <w:r w:rsidR="005C5CE1" w:rsidRPr="005C5CE1">
      <w:rPr>
        <w:lang w:val="en-GB"/>
      </w:rPr>
      <w:t>_KVH rev 04-2019</w:t>
    </w:r>
    <w:r w:rsidR="008B1E32" w:rsidRPr="008B1E32">
      <w:rPr>
        <w:rFonts w:asciiTheme="minorHAnsi" w:hAnsiTheme="minorHAnsi" w:cstheme="minorHAnsi"/>
        <w:sz w:val="22"/>
        <w:szCs w:val="22"/>
        <w:lang w:val="nl-NL"/>
      </w:rPr>
      <w:ptab w:relativeTo="margin" w:alignment="center" w:leader="none"/>
    </w:r>
    <w:r w:rsidR="008B1E32" w:rsidRPr="008B1E32">
      <w:rPr>
        <w:rFonts w:asciiTheme="minorHAnsi" w:hAnsiTheme="minorHAnsi" w:cstheme="minorHAnsi"/>
        <w:sz w:val="22"/>
        <w:szCs w:val="22"/>
        <w:lang w:val="nl-NL"/>
      </w:rPr>
      <w:ptab w:relativeTo="margin" w:alignment="right" w:leader="none"/>
    </w:r>
    <w:r w:rsidR="008B1E32" w:rsidRPr="005C5CE1">
      <w:rPr>
        <w:rFonts w:asciiTheme="minorHAnsi" w:hAnsiTheme="minorHAnsi" w:cstheme="minorHAnsi"/>
        <w:sz w:val="22"/>
        <w:szCs w:val="22"/>
        <w:lang w:val="en-GB"/>
      </w:rPr>
      <w:t xml:space="preserve">Page </w:t>
    </w:r>
    <w:r w:rsidR="008B1E32" w:rsidRPr="008B1E32">
      <w:rPr>
        <w:rFonts w:asciiTheme="minorHAnsi" w:hAnsiTheme="minorHAnsi" w:cstheme="minorHAnsi"/>
        <w:b/>
        <w:sz w:val="22"/>
        <w:szCs w:val="22"/>
        <w:lang w:val="nl-NL"/>
      </w:rPr>
      <w:fldChar w:fldCharType="begin"/>
    </w:r>
    <w:r w:rsidR="008B1E32" w:rsidRPr="005C5CE1">
      <w:rPr>
        <w:rFonts w:asciiTheme="minorHAnsi" w:hAnsiTheme="minorHAnsi" w:cstheme="minorHAnsi"/>
        <w:b/>
        <w:sz w:val="22"/>
        <w:szCs w:val="22"/>
        <w:lang w:val="en-GB"/>
      </w:rPr>
      <w:instrText>PAGE  \* Arabic  \* MERGEFORMAT</w:instrText>
    </w:r>
    <w:r w:rsidR="008B1E32" w:rsidRPr="008B1E32">
      <w:rPr>
        <w:rFonts w:asciiTheme="minorHAnsi" w:hAnsiTheme="minorHAnsi" w:cstheme="minorHAnsi"/>
        <w:b/>
        <w:sz w:val="22"/>
        <w:szCs w:val="22"/>
        <w:lang w:val="nl-NL"/>
      </w:rPr>
      <w:fldChar w:fldCharType="separate"/>
    </w:r>
    <w:r w:rsidR="00726B0C" w:rsidRPr="005C5CE1">
      <w:rPr>
        <w:rFonts w:asciiTheme="minorHAnsi" w:hAnsiTheme="minorHAnsi" w:cstheme="minorHAnsi"/>
        <w:b/>
        <w:noProof/>
        <w:sz w:val="22"/>
        <w:szCs w:val="22"/>
        <w:lang w:val="en-GB"/>
      </w:rPr>
      <w:t>2</w:t>
    </w:r>
    <w:r w:rsidR="008B1E32" w:rsidRPr="008B1E32">
      <w:rPr>
        <w:rFonts w:asciiTheme="minorHAnsi" w:hAnsiTheme="minorHAnsi" w:cstheme="minorHAnsi"/>
        <w:b/>
        <w:sz w:val="22"/>
        <w:szCs w:val="22"/>
        <w:lang w:val="nl-NL"/>
      </w:rPr>
      <w:fldChar w:fldCharType="end"/>
    </w:r>
    <w:r w:rsidR="008B1E32" w:rsidRPr="005C5CE1">
      <w:rPr>
        <w:rFonts w:asciiTheme="minorHAnsi" w:hAnsiTheme="minorHAnsi" w:cstheme="minorHAnsi"/>
        <w:sz w:val="22"/>
        <w:szCs w:val="22"/>
        <w:lang w:val="en-GB"/>
      </w:rPr>
      <w:t xml:space="preserve"> of </w:t>
    </w:r>
    <w:r w:rsidR="008B1E32" w:rsidRPr="008B1E32">
      <w:rPr>
        <w:rFonts w:asciiTheme="minorHAnsi" w:hAnsiTheme="minorHAnsi" w:cstheme="minorHAnsi"/>
        <w:b/>
        <w:sz w:val="22"/>
        <w:szCs w:val="22"/>
        <w:lang w:val="nl-NL"/>
      </w:rPr>
      <w:fldChar w:fldCharType="begin"/>
    </w:r>
    <w:r w:rsidR="008B1E32" w:rsidRPr="005C5CE1">
      <w:rPr>
        <w:rFonts w:asciiTheme="minorHAnsi" w:hAnsiTheme="minorHAnsi" w:cstheme="minorHAnsi"/>
        <w:b/>
        <w:sz w:val="22"/>
        <w:szCs w:val="22"/>
        <w:lang w:val="en-GB"/>
      </w:rPr>
      <w:instrText>NUMPAGES  \* Arabic  \* MERGEFORMAT</w:instrText>
    </w:r>
    <w:r w:rsidR="008B1E32" w:rsidRPr="008B1E32">
      <w:rPr>
        <w:rFonts w:asciiTheme="minorHAnsi" w:hAnsiTheme="minorHAnsi" w:cstheme="minorHAnsi"/>
        <w:b/>
        <w:sz w:val="22"/>
        <w:szCs w:val="22"/>
        <w:lang w:val="nl-NL"/>
      </w:rPr>
      <w:fldChar w:fldCharType="separate"/>
    </w:r>
    <w:r w:rsidR="00726B0C" w:rsidRPr="005C5CE1">
      <w:rPr>
        <w:rFonts w:asciiTheme="minorHAnsi" w:hAnsiTheme="minorHAnsi" w:cstheme="minorHAnsi"/>
        <w:b/>
        <w:noProof/>
        <w:sz w:val="22"/>
        <w:szCs w:val="22"/>
        <w:lang w:val="en-GB"/>
      </w:rPr>
      <w:t>10</w:t>
    </w:r>
    <w:r w:rsidR="008B1E32" w:rsidRPr="008B1E32">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27AE" w14:textId="77777777" w:rsidR="00733B42" w:rsidRDefault="00733B42" w:rsidP="000A2791">
      <w:pPr>
        <w:spacing w:after="0" w:line="240" w:lineRule="auto"/>
      </w:pPr>
      <w:r>
        <w:separator/>
      </w:r>
    </w:p>
  </w:footnote>
  <w:footnote w:type="continuationSeparator" w:id="0">
    <w:p w14:paraId="2F453A03" w14:textId="77777777" w:rsidR="00733B42" w:rsidRDefault="00733B42"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BF10" w14:textId="77777777" w:rsidR="00FD40F1" w:rsidRPr="00FD40F1" w:rsidRDefault="008B1E32" w:rsidP="009C0C07">
    <w:pPr>
      <w:pStyle w:val="Koptekst"/>
      <w:pBdr>
        <w:bottom w:val="single" w:sz="4" w:space="1" w:color="auto"/>
      </w:pBdr>
      <w:rPr>
        <w:rFonts w:asciiTheme="minorHAnsi" w:hAnsiTheme="minorHAnsi" w:cstheme="minorHAnsi"/>
        <w:sz w:val="22"/>
        <w:szCs w:val="22"/>
      </w:rPr>
    </w:pPr>
    <w:r w:rsidRPr="00FD40F1">
      <w:rPr>
        <w:rFonts w:asciiTheme="minorHAnsi" w:hAnsiTheme="minorHAnsi" w:cstheme="minorHAnsi"/>
        <w:sz w:val="22"/>
        <w:szCs w:val="22"/>
      </w:rPr>
      <w:t>Dafra Pharma</w:t>
    </w:r>
    <w:r w:rsidRPr="00FD40F1">
      <w:rPr>
        <w:rFonts w:asciiTheme="minorHAnsi" w:hAnsiTheme="minorHAnsi" w:cstheme="minorHAnsi"/>
        <w:sz w:val="22"/>
        <w:szCs w:val="22"/>
      </w:rPr>
      <w:ptab w:relativeTo="margin" w:alignment="center" w:leader="none"/>
    </w:r>
    <w:r w:rsidR="008441FE" w:rsidRPr="00FD40F1">
      <w:rPr>
        <w:rFonts w:asciiTheme="minorHAnsi" w:hAnsiTheme="minorHAnsi" w:cstheme="minorHAnsi"/>
        <w:sz w:val="22"/>
        <w:szCs w:val="22"/>
      </w:rPr>
      <w:t>SmPC</w:t>
    </w:r>
    <w:r w:rsidRPr="00FD40F1">
      <w:rPr>
        <w:rFonts w:asciiTheme="minorHAnsi" w:hAnsiTheme="minorHAnsi" w:cstheme="minorHAnsi"/>
        <w:sz w:val="22"/>
        <w:szCs w:val="22"/>
      </w:rPr>
      <w:ptab w:relativeTo="margin" w:alignment="right" w:leader="none"/>
    </w:r>
    <w:r w:rsidR="00FF5E52">
      <w:rPr>
        <w:rFonts w:asciiTheme="minorHAnsi" w:hAnsiTheme="minorHAnsi" w:cstheme="minorHAnsi"/>
        <w:sz w:val="22"/>
        <w:szCs w:val="22"/>
      </w:rPr>
      <w:t>Rhino</w:t>
    </w:r>
    <w:r w:rsidR="009C0C07">
      <w:rPr>
        <w:rFonts w:asciiTheme="minorHAnsi" w:hAnsiTheme="minorHAnsi" w:cstheme="minorHAnsi"/>
        <w:sz w:val="22"/>
        <w:szCs w:val="22"/>
      </w:rPr>
      <w:t>P</w:t>
    </w:r>
    <w:r w:rsidR="00FF5E52">
      <w:rPr>
        <w:rFonts w:asciiTheme="minorHAnsi" w:hAnsiTheme="minorHAnsi" w:cstheme="minorHAnsi"/>
        <w:sz w:val="22"/>
        <w:szCs w:val="22"/>
      </w:rPr>
      <w:t>arol</w:t>
    </w:r>
  </w:p>
  <w:p w14:paraId="3786B83B" w14:textId="77777777" w:rsidR="00FD40F1" w:rsidRDefault="00FD40F1" w:rsidP="008B1E32">
    <w:pPr>
      <w:pStyle w:val="Koptekst"/>
      <w:rPr>
        <w:rFonts w:asciiTheme="minorHAnsi" w:hAnsiTheme="minorHAnsi" w:cstheme="minorHAnsi"/>
        <w:sz w:val="22"/>
        <w:szCs w:val="22"/>
        <w:u w:val="single"/>
      </w:rPr>
    </w:pPr>
  </w:p>
  <w:p w14:paraId="46568D18" w14:textId="77777777" w:rsidR="000A2791" w:rsidRPr="008B1E32" w:rsidRDefault="000A2791" w:rsidP="008B1E32">
    <w:pPr>
      <w:pStyle w:val="Koptekst"/>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02A5"/>
    <w:multiLevelType w:val="hybridMultilevel"/>
    <w:tmpl w:val="1FB83A9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F2499"/>
    <w:multiLevelType w:val="hybridMultilevel"/>
    <w:tmpl w:val="87BCBF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E980B9A"/>
    <w:multiLevelType w:val="hybridMultilevel"/>
    <w:tmpl w:val="7A348B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81462C"/>
    <w:multiLevelType w:val="hybridMultilevel"/>
    <w:tmpl w:val="A93C1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70850"/>
    <w:multiLevelType w:val="hybridMultilevel"/>
    <w:tmpl w:val="A8A8D30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3C9274C3"/>
    <w:multiLevelType w:val="hybridMultilevel"/>
    <w:tmpl w:val="3708B2D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438924AC"/>
    <w:multiLevelType w:val="hybridMultilevel"/>
    <w:tmpl w:val="220A294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8" w15:restartNumberingAfterBreak="0">
    <w:nsid w:val="47B24A76"/>
    <w:multiLevelType w:val="hybridMultilevel"/>
    <w:tmpl w:val="B706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D12ED5"/>
    <w:multiLevelType w:val="hybridMultilevel"/>
    <w:tmpl w:val="B0205A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8697EA3"/>
    <w:multiLevelType w:val="hybridMultilevel"/>
    <w:tmpl w:val="1338CC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29252E"/>
    <w:multiLevelType w:val="hybridMultilevel"/>
    <w:tmpl w:val="EA6E33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2996640"/>
    <w:multiLevelType w:val="hybridMultilevel"/>
    <w:tmpl w:val="FC5E3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25736"/>
    <w:multiLevelType w:val="hybridMultilevel"/>
    <w:tmpl w:val="DD3852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17" w15:restartNumberingAfterBreak="0">
    <w:nsid w:val="6879305B"/>
    <w:multiLevelType w:val="hybridMultilevel"/>
    <w:tmpl w:val="B220E4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D5111C9"/>
    <w:multiLevelType w:val="hybridMultilevel"/>
    <w:tmpl w:val="F8F69C1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9" w15:restartNumberingAfterBreak="0">
    <w:nsid w:val="72215F39"/>
    <w:multiLevelType w:val="hybridMultilevel"/>
    <w:tmpl w:val="37113E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7A7A25"/>
    <w:multiLevelType w:val="hybridMultilevel"/>
    <w:tmpl w:val="86E8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20B44"/>
    <w:multiLevelType w:val="hybridMultilevel"/>
    <w:tmpl w:val="B3C86C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E8E67CF"/>
    <w:multiLevelType w:val="hybridMultilevel"/>
    <w:tmpl w:val="2A1A6B2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12"/>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9"/>
  </w:num>
  <w:num w:numId="12">
    <w:abstractNumId w:val="1"/>
  </w:num>
  <w:num w:numId="13">
    <w:abstractNumId w:val="8"/>
  </w:num>
  <w:num w:numId="14">
    <w:abstractNumId w:val="5"/>
  </w:num>
  <w:num w:numId="15">
    <w:abstractNumId w:val="0"/>
  </w:num>
  <w:num w:numId="16">
    <w:abstractNumId w:val="17"/>
  </w:num>
  <w:num w:numId="17">
    <w:abstractNumId w:val="7"/>
  </w:num>
  <w:num w:numId="18">
    <w:abstractNumId w:val="10"/>
  </w:num>
  <w:num w:numId="19">
    <w:abstractNumId w:val="13"/>
  </w:num>
  <w:num w:numId="20">
    <w:abstractNumId w:val="20"/>
  </w:num>
  <w:num w:numId="21">
    <w:abstractNumId w:val="2"/>
  </w:num>
  <w:num w:numId="22">
    <w:abstractNumId w:val="15"/>
  </w:num>
  <w:num w:numId="23">
    <w:abstractNumId w:val="14"/>
  </w:num>
  <w:num w:numId="24">
    <w:abstractNumId w:val="4"/>
  </w:num>
  <w:num w:numId="25">
    <w:abstractNumId w:val="21"/>
  </w:num>
  <w:num w:numId="26">
    <w:abstractNumId w:val="3"/>
  </w:num>
  <w:num w:numId="27">
    <w:abstractNumId w:val="11"/>
  </w:num>
  <w:num w:numId="28">
    <w:abstractNumId w:val="19"/>
  </w:num>
  <w:num w:numId="29">
    <w:abstractNumId w:val="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D4"/>
    <w:rsid w:val="000254FC"/>
    <w:rsid w:val="00027D9F"/>
    <w:rsid w:val="00052A9D"/>
    <w:rsid w:val="000A2791"/>
    <w:rsid w:val="000C465E"/>
    <w:rsid w:val="000C7AD4"/>
    <w:rsid w:val="0011316A"/>
    <w:rsid w:val="001178BF"/>
    <w:rsid w:val="00123BC7"/>
    <w:rsid w:val="0013292C"/>
    <w:rsid w:val="00187C99"/>
    <w:rsid w:val="0020378B"/>
    <w:rsid w:val="00205FA1"/>
    <w:rsid w:val="0020747E"/>
    <w:rsid w:val="00243C12"/>
    <w:rsid w:val="00281EA1"/>
    <w:rsid w:val="002A1D77"/>
    <w:rsid w:val="002A586D"/>
    <w:rsid w:val="002B1AA7"/>
    <w:rsid w:val="002B3DDF"/>
    <w:rsid w:val="002C2870"/>
    <w:rsid w:val="002F3679"/>
    <w:rsid w:val="00305EC5"/>
    <w:rsid w:val="00330C75"/>
    <w:rsid w:val="00365CC8"/>
    <w:rsid w:val="003C3D4A"/>
    <w:rsid w:val="003E5C55"/>
    <w:rsid w:val="0040300A"/>
    <w:rsid w:val="004042AC"/>
    <w:rsid w:val="00423A98"/>
    <w:rsid w:val="00426649"/>
    <w:rsid w:val="004453F0"/>
    <w:rsid w:val="004964B8"/>
    <w:rsid w:val="004B61F5"/>
    <w:rsid w:val="004B6755"/>
    <w:rsid w:val="005179F8"/>
    <w:rsid w:val="00553871"/>
    <w:rsid w:val="005831C2"/>
    <w:rsid w:val="00584E3E"/>
    <w:rsid w:val="00597C85"/>
    <w:rsid w:val="005C5CE1"/>
    <w:rsid w:val="005E152F"/>
    <w:rsid w:val="006155AE"/>
    <w:rsid w:val="006304AB"/>
    <w:rsid w:val="00676347"/>
    <w:rsid w:val="006D524D"/>
    <w:rsid w:val="006E3D8F"/>
    <w:rsid w:val="00726B0C"/>
    <w:rsid w:val="00733B42"/>
    <w:rsid w:val="00734746"/>
    <w:rsid w:val="00740162"/>
    <w:rsid w:val="00770F75"/>
    <w:rsid w:val="00777C6C"/>
    <w:rsid w:val="00792744"/>
    <w:rsid w:val="007970DD"/>
    <w:rsid w:val="007B1BBA"/>
    <w:rsid w:val="007D2C8D"/>
    <w:rsid w:val="00840FDA"/>
    <w:rsid w:val="008441FE"/>
    <w:rsid w:val="00864BAF"/>
    <w:rsid w:val="008755EA"/>
    <w:rsid w:val="00890795"/>
    <w:rsid w:val="008A2274"/>
    <w:rsid w:val="008B1E32"/>
    <w:rsid w:val="008B469C"/>
    <w:rsid w:val="008C68C1"/>
    <w:rsid w:val="0096541D"/>
    <w:rsid w:val="00987E49"/>
    <w:rsid w:val="009908B1"/>
    <w:rsid w:val="009B0007"/>
    <w:rsid w:val="009C0C07"/>
    <w:rsid w:val="00A93D2A"/>
    <w:rsid w:val="00AA1E66"/>
    <w:rsid w:val="00AB4D38"/>
    <w:rsid w:val="00AD4715"/>
    <w:rsid w:val="00AD5C2D"/>
    <w:rsid w:val="00AE30FE"/>
    <w:rsid w:val="00AF6281"/>
    <w:rsid w:val="00B17706"/>
    <w:rsid w:val="00B33A56"/>
    <w:rsid w:val="00B3775E"/>
    <w:rsid w:val="00B74593"/>
    <w:rsid w:val="00B81832"/>
    <w:rsid w:val="00BC62F1"/>
    <w:rsid w:val="00BD0B61"/>
    <w:rsid w:val="00BF1DCE"/>
    <w:rsid w:val="00C02DE3"/>
    <w:rsid w:val="00C21ABA"/>
    <w:rsid w:val="00C331CE"/>
    <w:rsid w:val="00C90CA6"/>
    <w:rsid w:val="00CB1330"/>
    <w:rsid w:val="00CC0FEE"/>
    <w:rsid w:val="00D047BA"/>
    <w:rsid w:val="00D63903"/>
    <w:rsid w:val="00DB004F"/>
    <w:rsid w:val="00DC4881"/>
    <w:rsid w:val="00DF03CE"/>
    <w:rsid w:val="00DF12E3"/>
    <w:rsid w:val="00E23871"/>
    <w:rsid w:val="00E65EFE"/>
    <w:rsid w:val="00E706C9"/>
    <w:rsid w:val="00EA7F33"/>
    <w:rsid w:val="00F00476"/>
    <w:rsid w:val="00F06E22"/>
    <w:rsid w:val="00F26321"/>
    <w:rsid w:val="00F3148F"/>
    <w:rsid w:val="00F56A08"/>
    <w:rsid w:val="00FD40F1"/>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6A63E"/>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paragraph" w:customStyle="1" w:styleId="EMEAEnBodyText">
    <w:name w:val="EMEA En Body Text"/>
    <w:basedOn w:val="Standaard"/>
    <w:uiPriority w:val="99"/>
    <w:rsid w:val="0020747E"/>
    <w:pPr>
      <w:spacing w:before="120" w:after="120" w:line="240" w:lineRule="auto"/>
      <w:jc w:val="both"/>
    </w:pPr>
    <w:rPr>
      <w:rFonts w:eastAsia="Times New Roman"/>
      <w:kern w:val="0"/>
      <w:sz w:val="22"/>
      <w:szCs w:val="20"/>
      <w:lang w:eastAsia="en-US"/>
    </w:rPr>
  </w:style>
  <w:style w:type="paragraph" w:customStyle="1" w:styleId="Default">
    <w:name w:val="Default"/>
    <w:rsid w:val="00305EC5"/>
    <w:pPr>
      <w:autoSpaceDE w:val="0"/>
      <w:autoSpaceDN w:val="0"/>
      <w:adjustRightInd w:val="0"/>
    </w:pPr>
    <w:rPr>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8208-96B2-4F7E-8ACE-06045651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2600</Words>
  <Characters>14305</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SmPC en</vt:lpstr>
      <vt:lpstr>SmPC en</vt:lpstr>
    </vt:vector>
  </TitlesOfParts>
  <Company>DAFRA PHARMA</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SPARHINT6</dc:subject>
  <dc:creator>Etienne Pellegrims; kvh</dc:creator>
  <cp:lastModifiedBy>Karin Van Halewyck</cp:lastModifiedBy>
  <cp:revision>9</cp:revision>
  <dcterms:created xsi:type="dcterms:W3CDTF">2019-04-02T14:43:00Z</dcterms:created>
  <dcterms:modified xsi:type="dcterms:W3CDTF">2019-12-05T14:14:00Z</dcterms:modified>
  <cp:version>02-2019</cp:version>
</cp:coreProperties>
</file>