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B8D" w:rsidRPr="006829C3" w:rsidRDefault="00282B8D" w:rsidP="00B3775A">
      <w:pPr>
        <w:pBdr>
          <w:top w:val="single" w:sz="4" w:space="1" w:color="auto"/>
          <w:left w:val="single" w:sz="4" w:space="4" w:color="auto"/>
          <w:bottom w:val="single" w:sz="4" w:space="1" w:color="auto"/>
          <w:right w:val="single" w:sz="4" w:space="4" w:color="auto"/>
        </w:pBdr>
        <w:suppressAutoHyphens/>
        <w:ind w:left="567" w:hanging="567"/>
        <w:jc w:val="center"/>
        <w:rPr>
          <w:rFonts w:asciiTheme="minorHAnsi" w:hAnsiTheme="minorHAnsi"/>
          <w:b/>
          <w:bCs/>
          <w:sz w:val="24"/>
          <w:szCs w:val="24"/>
        </w:rPr>
      </w:pPr>
      <w:r w:rsidRPr="006829C3">
        <w:rPr>
          <w:rFonts w:asciiTheme="minorHAnsi" w:hAnsiTheme="minorHAnsi"/>
          <w:b/>
          <w:bCs/>
          <w:sz w:val="24"/>
          <w:szCs w:val="24"/>
        </w:rPr>
        <w:t>R</w:t>
      </w:r>
      <w:r w:rsidR="000528D6" w:rsidRPr="006829C3">
        <w:rPr>
          <w:rFonts w:asciiTheme="minorHAnsi" w:hAnsiTheme="minorHAnsi"/>
          <w:b/>
          <w:bCs/>
          <w:sz w:val="24"/>
          <w:szCs w:val="24"/>
        </w:rPr>
        <w:t>É</w:t>
      </w:r>
      <w:r w:rsidRPr="006829C3">
        <w:rPr>
          <w:rFonts w:asciiTheme="minorHAnsi" w:hAnsiTheme="minorHAnsi"/>
          <w:b/>
          <w:bCs/>
          <w:sz w:val="24"/>
          <w:szCs w:val="24"/>
        </w:rPr>
        <w:t>SUM</w:t>
      </w:r>
      <w:r w:rsidR="000528D6" w:rsidRPr="006829C3">
        <w:rPr>
          <w:rFonts w:asciiTheme="minorHAnsi" w:hAnsiTheme="minorHAnsi"/>
          <w:b/>
          <w:bCs/>
          <w:sz w:val="24"/>
          <w:szCs w:val="24"/>
        </w:rPr>
        <w:t>É</w:t>
      </w:r>
      <w:r w:rsidRPr="006829C3">
        <w:rPr>
          <w:rFonts w:asciiTheme="minorHAnsi" w:hAnsiTheme="minorHAnsi"/>
          <w:b/>
          <w:bCs/>
          <w:sz w:val="24"/>
          <w:szCs w:val="24"/>
        </w:rPr>
        <w:t xml:space="preserve"> DES CARACT</w:t>
      </w:r>
      <w:r w:rsidR="000528D6" w:rsidRPr="006829C3">
        <w:rPr>
          <w:rFonts w:asciiTheme="minorHAnsi" w:hAnsiTheme="minorHAnsi"/>
          <w:b/>
          <w:bCs/>
          <w:sz w:val="24"/>
          <w:szCs w:val="24"/>
        </w:rPr>
        <w:t>É</w:t>
      </w:r>
      <w:r w:rsidRPr="006829C3">
        <w:rPr>
          <w:rFonts w:asciiTheme="minorHAnsi" w:hAnsiTheme="minorHAnsi"/>
          <w:b/>
          <w:bCs/>
          <w:sz w:val="24"/>
          <w:szCs w:val="24"/>
        </w:rPr>
        <w:t>RISTIQUES DU PRODUIT</w:t>
      </w:r>
    </w:p>
    <w:p w:rsidR="00282B8D" w:rsidRPr="006829C3" w:rsidRDefault="00282B8D" w:rsidP="00282B8D">
      <w:pPr>
        <w:suppressAutoHyphens/>
        <w:ind w:left="567" w:hanging="567"/>
        <w:jc w:val="center"/>
        <w:rPr>
          <w:rFonts w:asciiTheme="minorHAnsi" w:hAnsiTheme="minorHAnsi"/>
          <w:b/>
          <w:bCs/>
          <w:sz w:val="24"/>
          <w:szCs w:val="24"/>
        </w:rPr>
      </w:pPr>
    </w:p>
    <w:p w:rsidR="00282B8D" w:rsidRPr="006829C3" w:rsidRDefault="00282B8D" w:rsidP="000528D6">
      <w:pPr>
        <w:suppressAutoHyphens/>
        <w:ind w:left="567" w:hanging="567"/>
        <w:jc w:val="center"/>
        <w:rPr>
          <w:rFonts w:asciiTheme="minorHAnsi" w:hAnsiTheme="minorHAnsi"/>
          <w:b/>
          <w:bCs/>
          <w:sz w:val="24"/>
          <w:szCs w:val="24"/>
        </w:rPr>
      </w:pPr>
    </w:p>
    <w:p w:rsidR="00282B8D" w:rsidRPr="006829C3" w:rsidRDefault="00282B8D" w:rsidP="00282B8D">
      <w:pPr>
        <w:suppressAutoHyphens/>
        <w:ind w:left="567" w:hanging="567"/>
        <w:rPr>
          <w:rFonts w:asciiTheme="minorHAnsi" w:hAnsiTheme="minorHAnsi"/>
          <w:b/>
          <w:sz w:val="24"/>
          <w:szCs w:val="24"/>
        </w:rPr>
      </w:pPr>
      <w:r w:rsidRPr="006829C3">
        <w:rPr>
          <w:rFonts w:asciiTheme="minorHAnsi" w:hAnsiTheme="minorHAnsi"/>
          <w:b/>
          <w:sz w:val="24"/>
          <w:szCs w:val="24"/>
        </w:rPr>
        <w:t>1.</w:t>
      </w:r>
      <w:r w:rsidRPr="006829C3">
        <w:rPr>
          <w:rFonts w:asciiTheme="minorHAnsi" w:hAnsiTheme="minorHAnsi"/>
          <w:b/>
          <w:sz w:val="24"/>
          <w:szCs w:val="24"/>
        </w:rPr>
        <w:tab/>
        <w:t>D</w:t>
      </w:r>
      <w:r w:rsidR="000528D6" w:rsidRPr="006829C3">
        <w:rPr>
          <w:rFonts w:asciiTheme="minorHAnsi" w:hAnsiTheme="minorHAnsi"/>
          <w:b/>
          <w:sz w:val="24"/>
          <w:szCs w:val="24"/>
        </w:rPr>
        <w:t>É</w:t>
      </w:r>
      <w:r w:rsidRPr="006829C3">
        <w:rPr>
          <w:rFonts w:asciiTheme="minorHAnsi" w:hAnsiTheme="minorHAnsi"/>
          <w:b/>
          <w:sz w:val="24"/>
          <w:szCs w:val="24"/>
        </w:rPr>
        <w:t>NOMINATION DU M</w:t>
      </w:r>
      <w:r w:rsidR="000748BF" w:rsidRPr="006829C3">
        <w:rPr>
          <w:rFonts w:asciiTheme="minorHAnsi" w:hAnsiTheme="minorHAnsi"/>
          <w:b/>
          <w:sz w:val="24"/>
          <w:szCs w:val="24"/>
        </w:rPr>
        <w:t>É</w:t>
      </w:r>
      <w:r w:rsidRPr="006829C3">
        <w:rPr>
          <w:rFonts w:asciiTheme="minorHAnsi" w:hAnsiTheme="minorHAnsi"/>
          <w:b/>
          <w:sz w:val="24"/>
          <w:szCs w:val="24"/>
        </w:rPr>
        <w:t>DICAMENT</w:t>
      </w:r>
    </w:p>
    <w:p w:rsidR="00282B8D" w:rsidRPr="006829C3" w:rsidRDefault="00282B8D" w:rsidP="00F25EBB">
      <w:pPr>
        <w:suppressAutoHyphens/>
        <w:ind w:left="567"/>
        <w:rPr>
          <w:rFonts w:asciiTheme="minorHAnsi" w:hAnsiTheme="minorHAnsi"/>
          <w:sz w:val="24"/>
          <w:szCs w:val="24"/>
        </w:rPr>
      </w:pPr>
    </w:p>
    <w:p w:rsidR="00282B8D" w:rsidRPr="006829C3" w:rsidRDefault="00F25EBB" w:rsidP="00F25EBB">
      <w:pPr>
        <w:suppressAutoHyphens/>
        <w:ind w:left="567"/>
        <w:rPr>
          <w:rFonts w:asciiTheme="minorHAnsi" w:hAnsiTheme="minorHAnsi"/>
          <w:sz w:val="24"/>
          <w:szCs w:val="24"/>
        </w:rPr>
      </w:pPr>
      <w:proofErr w:type="spellStart"/>
      <w:r w:rsidRPr="006829C3">
        <w:rPr>
          <w:rFonts w:asciiTheme="minorHAnsi" w:hAnsiTheme="minorHAnsi"/>
          <w:sz w:val="24"/>
          <w:szCs w:val="24"/>
        </w:rPr>
        <w:t>Rhino</w:t>
      </w:r>
      <w:r w:rsidR="002E5B9A">
        <w:rPr>
          <w:rFonts w:asciiTheme="minorHAnsi" w:hAnsiTheme="minorHAnsi"/>
          <w:sz w:val="24"/>
          <w:szCs w:val="24"/>
        </w:rPr>
        <w:t>P</w:t>
      </w:r>
      <w:r w:rsidRPr="006829C3">
        <w:rPr>
          <w:rFonts w:asciiTheme="minorHAnsi" w:hAnsiTheme="minorHAnsi"/>
          <w:sz w:val="24"/>
          <w:szCs w:val="24"/>
        </w:rPr>
        <w:t>arol</w:t>
      </w:r>
      <w:proofErr w:type="spellEnd"/>
    </w:p>
    <w:p w:rsidR="00282B8D" w:rsidRPr="006829C3" w:rsidRDefault="002E5B9A" w:rsidP="00F25EBB">
      <w:pPr>
        <w:widowControl w:val="0"/>
        <w:autoSpaceDE w:val="0"/>
        <w:autoSpaceDN w:val="0"/>
        <w:adjustRightInd w:val="0"/>
        <w:ind w:left="567"/>
        <w:rPr>
          <w:rFonts w:asciiTheme="minorHAnsi" w:hAnsiTheme="minorHAnsi"/>
          <w:i/>
          <w:sz w:val="24"/>
          <w:szCs w:val="24"/>
        </w:rPr>
      </w:pPr>
      <w:r w:rsidRPr="006829C3">
        <w:rPr>
          <w:rFonts w:asciiTheme="minorHAnsi" w:hAnsiTheme="minorHAnsi" w:cstheme="majorBidi"/>
          <w:i/>
          <w:color w:val="000000"/>
          <w:sz w:val="24"/>
          <w:szCs w:val="24"/>
        </w:rPr>
        <w:t>Paracétamol</w:t>
      </w:r>
      <w:r>
        <w:rPr>
          <w:rFonts w:asciiTheme="minorHAnsi" w:hAnsiTheme="minorHAnsi" w:cstheme="majorBidi"/>
          <w:i/>
          <w:color w:val="000000"/>
          <w:sz w:val="24"/>
          <w:szCs w:val="24"/>
        </w:rPr>
        <w:t>-</w:t>
      </w:r>
      <w:r w:rsidRPr="006829C3">
        <w:rPr>
          <w:rFonts w:asciiTheme="minorHAnsi" w:hAnsiTheme="minorHAnsi" w:cstheme="majorBidi"/>
          <w:i/>
          <w:color w:val="000000"/>
          <w:sz w:val="24"/>
          <w:szCs w:val="24"/>
        </w:rPr>
        <w:t xml:space="preserve"> </w:t>
      </w:r>
      <w:r w:rsidRPr="006829C3">
        <w:rPr>
          <w:rFonts w:asciiTheme="minorHAnsi" w:hAnsiTheme="minorHAnsi"/>
          <w:i/>
          <w:sz w:val="24"/>
          <w:szCs w:val="24"/>
        </w:rPr>
        <w:t xml:space="preserve">Chlorhydrate de </w:t>
      </w:r>
      <w:proofErr w:type="spellStart"/>
      <w:r w:rsidRPr="006829C3">
        <w:rPr>
          <w:rFonts w:asciiTheme="minorHAnsi" w:hAnsiTheme="minorHAnsi"/>
          <w:i/>
          <w:sz w:val="24"/>
          <w:szCs w:val="24"/>
        </w:rPr>
        <w:t>phényléphrine</w:t>
      </w:r>
      <w:proofErr w:type="spellEnd"/>
      <w:r>
        <w:rPr>
          <w:rFonts w:asciiTheme="minorHAnsi" w:hAnsiTheme="minorHAnsi"/>
          <w:i/>
          <w:sz w:val="24"/>
          <w:szCs w:val="24"/>
        </w:rPr>
        <w:t>-</w:t>
      </w:r>
      <w:r w:rsidRPr="006523F0">
        <w:rPr>
          <w:rFonts w:asciiTheme="minorHAnsi" w:hAnsiTheme="minorHAnsi" w:cstheme="majorBidi"/>
          <w:i/>
          <w:color w:val="000000"/>
          <w:sz w:val="24"/>
          <w:szCs w:val="24"/>
        </w:rPr>
        <w:t xml:space="preserve"> </w:t>
      </w:r>
      <w:proofErr w:type="spellStart"/>
      <w:r w:rsidR="00F25EBB" w:rsidRPr="006829C3">
        <w:rPr>
          <w:rFonts w:asciiTheme="minorHAnsi" w:hAnsiTheme="minorHAnsi"/>
          <w:i/>
          <w:sz w:val="24"/>
          <w:szCs w:val="24"/>
        </w:rPr>
        <w:t>Maléate</w:t>
      </w:r>
      <w:proofErr w:type="spellEnd"/>
      <w:r w:rsidR="00F25EBB" w:rsidRPr="006829C3">
        <w:rPr>
          <w:rFonts w:asciiTheme="minorHAnsi" w:hAnsiTheme="minorHAnsi"/>
          <w:i/>
          <w:sz w:val="24"/>
          <w:szCs w:val="24"/>
        </w:rPr>
        <w:t xml:space="preserve"> de </w:t>
      </w:r>
      <w:proofErr w:type="spellStart"/>
      <w:r w:rsidR="00F25EBB" w:rsidRPr="006829C3">
        <w:rPr>
          <w:rFonts w:asciiTheme="minorHAnsi" w:hAnsiTheme="minorHAnsi"/>
          <w:i/>
          <w:sz w:val="24"/>
          <w:szCs w:val="24"/>
        </w:rPr>
        <w:t>chlorphénamine</w:t>
      </w:r>
      <w:proofErr w:type="spellEnd"/>
      <w:r w:rsidR="00F25EBB" w:rsidRPr="006829C3">
        <w:rPr>
          <w:rFonts w:asciiTheme="minorHAnsi" w:hAnsiTheme="minorHAnsi" w:cstheme="majorBidi"/>
          <w:i/>
          <w:color w:val="000000"/>
          <w:sz w:val="24"/>
          <w:szCs w:val="24"/>
        </w:rPr>
        <w:t xml:space="preserve"> </w:t>
      </w:r>
    </w:p>
    <w:p w:rsidR="00F25EBB" w:rsidRPr="006829C3" w:rsidRDefault="00F25EBB" w:rsidP="00F25EBB">
      <w:pPr>
        <w:widowControl w:val="0"/>
        <w:autoSpaceDE w:val="0"/>
        <w:autoSpaceDN w:val="0"/>
        <w:adjustRightInd w:val="0"/>
        <w:ind w:left="567"/>
        <w:rPr>
          <w:rFonts w:asciiTheme="minorHAnsi" w:hAnsiTheme="minorHAnsi"/>
          <w:sz w:val="24"/>
          <w:szCs w:val="24"/>
        </w:rPr>
      </w:pPr>
    </w:p>
    <w:p w:rsidR="00282B8D" w:rsidRPr="006829C3" w:rsidRDefault="00282B8D" w:rsidP="00282B8D">
      <w:pPr>
        <w:suppressAutoHyphens/>
        <w:ind w:left="567" w:hanging="567"/>
        <w:rPr>
          <w:rFonts w:asciiTheme="minorHAnsi" w:hAnsiTheme="minorHAnsi"/>
          <w:b/>
          <w:sz w:val="24"/>
          <w:szCs w:val="24"/>
        </w:rPr>
      </w:pPr>
      <w:r w:rsidRPr="006829C3">
        <w:rPr>
          <w:rFonts w:asciiTheme="minorHAnsi" w:hAnsiTheme="minorHAnsi"/>
          <w:b/>
          <w:sz w:val="24"/>
          <w:szCs w:val="24"/>
        </w:rPr>
        <w:t>2.</w:t>
      </w:r>
      <w:r w:rsidRPr="006829C3">
        <w:rPr>
          <w:rFonts w:asciiTheme="minorHAnsi" w:hAnsiTheme="minorHAnsi"/>
          <w:b/>
          <w:sz w:val="24"/>
          <w:szCs w:val="24"/>
        </w:rPr>
        <w:tab/>
        <w:t>COMPOSITION QUALITATIVE ET QUANTITATIVE</w:t>
      </w:r>
    </w:p>
    <w:p w:rsidR="00282B8D" w:rsidRPr="006829C3" w:rsidRDefault="00282B8D" w:rsidP="00282B8D">
      <w:pPr>
        <w:suppressAutoHyphens/>
        <w:rPr>
          <w:rFonts w:asciiTheme="minorHAnsi" w:hAnsiTheme="minorHAnsi"/>
          <w:sz w:val="24"/>
          <w:szCs w:val="24"/>
        </w:rPr>
      </w:pPr>
    </w:p>
    <w:p w:rsidR="00F25EBB" w:rsidRPr="006829C3" w:rsidRDefault="00F25EBB" w:rsidP="004D2B5D">
      <w:pPr>
        <w:pStyle w:val="EMEAEnBodyText"/>
        <w:autoSpaceDE w:val="0"/>
        <w:autoSpaceDN w:val="0"/>
        <w:adjustRightInd w:val="0"/>
        <w:spacing w:before="0" w:after="0"/>
        <w:ind w:left="567"/>
        <w:rPr>
          <w:rFonts w:asciiTheme="minorHAnsi" w:hAnsiTheme="minorHAnsi"/>
          <w:sz w:val="24"/>
          <w:szCs w:val="24"/>
          <w:lang w:val="fr-FR"/>
        </w:rPr>
      </w:pPr>
      <w:r w:rsidRPr="006829C3">
        <w:rPr>
          <w:rFonts w:asciiTheme="minorHAnsi" w:hAnsiTheme="minorHAnsi"/>
          <w:sz w:val="24"/>
          <w:szCs w:val="24"/>
          <w:lang w:val="fr-FR"/>
        </w:rPr>
        <w:t xml:space="preserve">Chaque comprimé </w:t>
      </w:r>
      <w:r w:rsidR="002E5B9A">
        <w:rPr>
          <w:rFonts w:asciiTheme="minorHAnsi" w:hAnsiTheme="minorHAnsi"/>
          <w:sz w:val="24"/>
          <w:szCs w:val="24"/>
          <w:lang w:val="fr-FR"/>
        </w:rPr>
        <w:t xml:space="preserve">pelliculé </w:t>
      </w:r>
      <w:r w:rsidRPr="006829C3">
        <w:rPr>
          <w:rFonts w:asciiTheme="minorHAnsi" w:hAnsiTheme="minorHAnsi"/>
          <w:sz w:val="24"/>
          <w:szCs w:val="24"/>
          <w:lang w:val="fr-FR"/>
        </w:rPr>
        <w:t>contie</w:t>
      </w:r>
      <w:r w:rsidR="006523F0">
        <w:rPr>
          <w:rFonts w:asciiTheme="minorHAnsi" w:hAnsiTheme="minorHAnsi"/>
          <w:sz w:val="24"/>
          <w:szCs w:val="24"/>
          <w:lang w:val="fr-FR"/>
        </w:rPr>
        <w:t>n</w:t>
      </w:r>
      <w:r w:rsidRPr="006829C3">
        <w:rPr>
          <w:rFonts w:asciiTheme="minorHAnsi" w:hAnsiTheme="minorHAnsi"/>
          <w:sz w:val="24"/>
          <w:szCs w:val="24"/>
          <w:lang w:val="fr-FR"/>
        </w:rPr>
        <w:t>t :</w:t>
      </w:r>
    </w:p>
    <w:p w:rsidR="006523F0" w:rsidRPr="006523F0" w:rsidRDefault="006523F0" w:rsidP="006523F0">
      <w:pPr>
        <w:pStyle w:val="ListParagraph"/>
        <w:widowControl w:val="0"/>
        <w:numPr>
          <w:ilvl w:val="0"/>
          <w:numId w:val="21"/>
        </w:numPr>
        <w:autoSpaceDE w:val="0"/>
        <w:autoSpaceDN w:val="0"/>
        <w:adjustRightInd w:val="0"/>
        <w:rPr>
          <w:rFonts w:asciiTheme="minorHAnsi" w:hAnsiTheme="minorHAnsi" w:cstheme="majorBidi"/>
          <w:color w:val="000000"/>
          <w:sz w:val="24"/>
          <w:szCs w:val="24"/>
        </w:rPr>
      </w:pPr>
      <w:r w:rsidRPr="006523F0">
        <w:rPr>
          <w:rFonts w:asciiTheme="minorHAnsi" w:hAnsiTheme="minorHAnsi" w:cstheme="majorBidi"/>
          <w:color w:val="000000"/>
          <w:sz w:val="24"/>
          <w:szCs w:val="24"/>
        </w:rPr>
        <w:t>Paracétamol 650 mg</w:t>
      </w:r>
    </w:p>
    <w:p w:rsidR="002E5B9A" w:rsidRPr="006523F0" w:rsidRDefault="002E5B9A" w:rsidP="002E5B9A">
      <w:pPr>
        <w:pStyle w:val="ListParagraph"/>
        <w:widowControl w:val="0"/>
        <w:numPr>
          <w:ilvl w:val="0"/>
          <w:numId w:val="21"/>
        </w:numPr>
        <w:autoSpaceDE w:val="0"/>
        <w:autoSpaceDN w:val="0"/>
        <w:adjustRightInd w:val="0"/>
        <w:rPr>
          <w:rFonts w:asciiTheme="minorHAnsi" w:hAnsiTheme="minorHAnsi" w:cstheme="majorBidi"/>
          <w:color w:val="000000"/>
          <w:sz w:val="24"/>
          <w:szCs w:val="24"/>
        </w:rPr>
      </w:pPr>
      <w:r w:rsidRPr="006523F0">
        <w:rPr>
          <w:rFonts w:asciiTheme="minorHAnsi" w:hAnsiTheme="minorHAnsi"/>
          <w:sz w:val="24"/>
          <w:szCs w:val="24"/>
        </w:rPr>
        <w:t xml:space="preserve">Chlorhydrate de </w:t>
      </w:r>
      <w:proofErr w:type="spellStart"/>
      <w:r w:rsidRPr="006523F0">
        <w:rPr>
          <w:rFonts w:asciiTheme="minorHAnsi" w:hAnsiTheme="minorHAnsi"/>
          <w:sz w:val="24"/>
          <w:szCs w:val="24"/>
        </w:rPr>
        <w:t>phényléphrine</w:t>
      </w:r>
      <w:proofErr w:type="spellEnd"/>
      <w:r w:rsidRPr="006523F0">
        <w:rPr>
          <w:rFonts w:asciiTheme="minorHAnsi" w:hAnsiTheme="minorHAnsi" w:cstheme="majorBidi"/>
          <w:color w:val="000000"/>
          <w:sz w:val="24"/>
          <w:szCs w:val="24"/>
        </w:rPr>
        <w:t xml:space="preserve"> 10 mg</w:t>
      </w:r>
      <w:r w:rsidR="000C2DBE">
        <w:rPr>
          <w:rFonts w:asciiTheme="minorHAnsi" w:hAnsiTheme="minorHAnsi" w:cstheme="majorBidi"/>
          <w:color w:val="000000"/>
          <w:sz w:val="24"/>
          <w:szCs w:val="24"/>
        </w:rPr>
        <w:t xml:space="preserve"> </w:t>
      </w:r>
      <w:proofErr w:type="gramStart"/>
      <w:r w:rsidR="000C2DBE">
        <w:rPr>
          <w:rFonts w:asciiTheme="minorHAnsi" w:hAnsiTheme="minorHAnsi" w:cstheme="majorBidi"/>
          <w:color w:val="000000"/>
          <w:sz w:val="24"/>
          <w:szCs w:val="24"/>
        </w:rPr>
        <w:t>( équivalent</w:t>
      </w:r>
      <w:proofErr w:type="gramEnd"/>
      <w:r w:rsidR="000C2DBE">
        <w:rPr>
          <w:rFonts w:asciiTheme="minorHAnsi" w:hAnsiTheme="minorHAnsi" w:cstheme="majorBidi"/>
          <w:color w:val="000000"/>
          <w:sz w:val="24"/>
          <w:szCs w:val="24"/>
        </w:rPr>
        <w:t xml:space="preserve"> à 8,21 mg de </w:t>
      </w:r>
      <w:proofErr w:type="spellStart"/>
      <w:r w:rsidR="000C2DBE">
        <w:rPr>
          <w:rFonts w:asciiTheme="minorHAnsi" w:hAnsiTheme="minorHAnsi" w:cstheme="majorBidi"/>
          <w:color w:val="000000"/>
          <w:sz w:val="24"/>
          <w:szCs w:val="24"/>
        </w:rPr>
        <w:t>phényléphrine</w:t>
      </w:r>
      <w:proofErr w:type="spellEnd"/>
      <w:r w:rsidR="000C2DBE">
        <w:rPr>
          <w:rFonts w:asciiTheme="minorHAnsi" w:hAnsiTheme="minorHAnsi" w:cstheme="majorBidi"/>
          <w:color w:val="000000"/>
          <w:sz w:val="24"/>
          <w:szCs w:val="24"/>
        </w:rPr>
        <w:t>)</w:t>
      </w:r>
    </w:p>
    <w:p w:rsidR="002E5B9A" w:rsidRPr="006523F0" w:rsidRDefault="002E5B9A" w:rsidP="002E5B9A">
      <w:pPr>
        <w:pStyle w:val="ListParagraph"/>
        <w:widowControl w:val="0"/>
        <w:numPr>
          <w:ilvl w:val="0"/>
          <w:numId w:val="21"/>
        </w:numPr>
        <w:autoSpaceDE w:val="0"/>
        <w:autoSpaceDN w:val="0"/>
        <w:adjustRightInd w:val="0"/>
        <w:rPr>
          <w:rFonts w:asciiTheme="minorHAnsi" w:hAnsiTheme="minorHAnsi" w:cstheme="majorBidi"/>
          <w:b/>
          <w:bCs/>
          <w:color w:val="000000"/>
          <w:sz w:val="24"/>
          <w:szCs w:val="24"/>
        </w:rPr>
      </w:pPr>
      <w:r w:rsidRPr="006523F0">
        <w:rPr>
          <w:rFonts w:asciiTheme="minorHAnsi" w:hAnsiTheme="minorHAnsi"/>
          <w:sz w:val="24"/>
          <w:szCs w:val="24"/>
        </w:rPr>
        <w:t>Maléate de chlorphénamine</w:t>
      </w:r>
      <w:r w:rsidRPr="006523F0">
        <w:rPr>
          <w:rFonts w:asciiTheme="minorHAnsi" w:hAnsiTheme="minorHAnsi" w:cstheme="majorBidi"/>
          <w:color w:val="000000"/>
          <w:sz w:val="24"/>
          <w:szCs w:val="24"/>
        </w:rPr>
        <w:t xml:space="preserve"> 4 mg</w:t>
      </w:r>
      <w:r w:rsidR="000C2DBE">
        <w:rPr>
          <w:rFonts w:asciiTheme="minorHAnsi" w:hAnsiTheme="minorHAnsi" w:cstheme="majorBidi"/>
          <w:color w:val="000000"/>
          <w:sz w:val="24"/>
          <w:szCs w:val="24"/>
        </w:rPr>
        <w:t xml:space="preserve"> (équivalent à 2,8</w:t>
      </w:r>
      <w:r w:rsidR="00B27B20">
        <w:rPr>
          <w:rFonts w:asciiTheme="minorHAnsi" w:hAnsiTheme="minorHAnsi" w:cstheme="majorBidi"/>
          <w:color w:val="000000"/>
          <w:sz w:val="24"/>
          <w:szCs w:val="24"/>
        </w:rPr>
        <w:t>3</w:t>
      </w:r>
      <w:r w:rsidR="000C2DBE">
        <w:rPr>
          <w:rFonts w:asciiTheme="minorHAnsi" w:hAnsiTheme="minorHAnsi" w:cstheme="majorBidi"/>
          <w:color w:val="000000"/>
          <w:sz w:val="24"/>
          <w:szCs w:val="24"/>
        </w:rPr>
        <w:t xml:space="preserve"> mg de chlorphénamine)</w:t>
      </w:r>
    </w:p>
    <w:p w:rsidR="00F25EBB" w:rsidRPr="006829C3" w:rsidRDefault="00F25EBB" w:rsidP="004D2B5D">
      <w:pPr>
        <w:pStyle w:val="EMEAEnBodyText"/>
        <w:autoSpaceDE w:val="0"/>
        <w:autoSpaceDN w:val="0"/>
        <w:adjustRightInd w:val="0"/>
        <w:spacing w:before="0" w:after="0"/>
        <w:ind w:left="567"/>
        <w:rPr>
          <w:rFonts w:asciiTheme="minorHAnsi" w:hAnsiTheme="minorHAnsi"/>
          <w:sz w:val="24"/>
          <w:szCs w:val="24"/>
          <w:lang w:val="fr-FR"/>
        </w:rPr>
      </w:pPr>
    </w:p>
    <w:p w:rsidR="00282B8D" w:rsidRPr="006829C3" w:rsidRDefault="00282B8D" w:rsidP="004D2B5D">
      <w:pPr>
        <w:tabs>
          <w:tab w:val="left" w:pos="567"/>
        </w:tabs>
        <w:ind w:left="567"/>
        <w:rPr>
          <w:rFonts w:asciiTheme="minorHAnsi" w:hAnsiTheme="minorHAnsi"/>
          <w:sz w:val="24"/>
          <w:szCs w:val="24"/>
        </w:rPr>
      </w:pPr>
      <w:r w:rsidRPr="006829C3">
        <w:rPr>
          <w:rFonts w:asciiTheme="minorHAnsi" w:hAnsiTheme="minorHAnsi"/>
          <w:sz w:val="24"/>
          <w:szCs w:val="24"/>
        </w:rPr>
        <w:t>Pour la liste complète des excipients, voir rubrique 6.1.</w:t>
      </w:r>
    </w:p>
    <w:p w:rsidR="00282B8D" w:rsidRPr="006829C3" w:rsidRDefault="00282B8D" w:rsidP="00282B8D">
      <w:pPr>
        <w:suppressAutoHyphens/>
        <w:rPr>
          <w:rFonts w:asciiTheme="minorHAnsi" w:hAnsiTheme="minorHAnsi"/>
          <w:sz w:val="24"/>
          <w:szCs w:val="24"/>
        </w:rPr>
      </w:pPr>
    </w:p>
    <w:p w:rsidR="00282B8D" w:rsidRPr="006829C3" w:rsidRDefault="00282B8D" w:rsidP="00282B8D">
      <w:pPr>
        <w:suppressAutoHyphens/>
        <w:ind w:left="567" w:hanging="567"/>
        <w:rPr>
          <w:rFonts w:asciiTheme="minorHAnsi" w:hAnsiTheme="minorHAnsi"/>
          <w:b/>
          <w:sz w:val="24"/>
          <w:szCs w:val="24"/>
        </w:rPr>
      </w:pPr>
      <w:r w:rsidRPr="006829C3">
        <w:rPr>
          <w:rFonts w:asciiTheme="minorHAnsi" w:hAnsiTheme="minorHAnsi"/>
          <w:b/>
          <w:sz w:val="24"/>
          <w:szCs w:val="24"/>
        </w:rPr>
        <w:t>3.</w:t>
      </w:r>
      <w:r w:rsidRPr="006829C3">
        <w:rPr>
          <w:rFonts w:asciiTheme="minorHAnsi" w:hAnsiTheme="minorHAnsi"/>
          <w:b/>
          <w:sz w:val="24"/>
          <w:szCs w:val="24"/>
        </w:rPr>
        <w:tab/>
        <w:t>FORME PHARMACEUTIQUE</w:t>
      </w:r>
      <w:r w:rsidR="000528D6" w:rsidRPr="006829C3">
        <w:rPr>
          <w:rFonts w:asciiTheme="minorHAnsi" w:hAnsiTheme="minorHAnsi"/>
          <w:b/>
          <w:sz w:val="24"/>
          <w:szCs w:val="24"/>
        </w:rPr>
        <w:t xml:space="preserve"> ET PRÉSENTATION</w:t>
      </w:r>
    </w:p>
    <w:p w:rsidR="00282B8D" w:rsidRPr="006829C3" w:rsidRDefault="00282B8D" w:rsidP="00DB658D">
      <w:pPr>
        <w:suppressAutoHyphens/>
        <w:ind w:left="567"/>
        <w:rPr>
          <w:rFonts w:asciiTheme="minorHAnsi" w:hAnsiTheme="minorHAnsi"/>
          <w:sz w:val="24"/>
          <w:szCs w:val="24"/>
        </w:rPr>
      </w:pPr>
    </w:p>
    <w:p w:rsidR="00DB658D" w:rsidRDefault="00DB658D" w:rsidP="00DB658D">
      <w:pPr>
        <w:widowControl w:val="0"/>
        <w:autoSpaceDE w:val="0"/>
        <w:autoSpaceDN w:val="0"/>
        <w:adjustRightInd w:val="0"/>
        <w:ind w:left="567"/>
        <w:rPr>
          <w:rFonts w:asciiTheme="minorHAnsi" w:hAnsiTheme="minorHAnsi"/>
          <w:sz w:val="24"/>
          <w:szCs w:val="24"/>
        </w:rPr>
      </w:pPr>
      <w:r w:rsidRPr="006829C3">
        <w:rPr>
          <w:rFonts w:asciiTheme="minorHAnsi" w:hAnsiTheme="minorHAnsi"/>
          <w:sz w:val="24"/>
          <w:szCs w:val="24"/>
        </w:rPr>
        <w:t xml:space="preserve">Comprime pelliculé </w:t>
      </w:r>
    </w:p>
    <w:p w:rsidR="00183134" w:rsidRDefault="00183134" w:rsidP="00DB658D">
      <w:pPr>
        <w:widowControl w:val="0"/>
        <w:autoSpaceDE w:val="0"/>
        <w:autoSpaceDN w:val="0"/>
        <w:adjustRightInd w:val="0"/>
        <w:ind w:left="567"/>
        <w:rPr>
          <w:rFonts w:asciiTheme="minorHAnsi" w:hAnsiTheme="minorHAnsi"/>
          <w:sz w:val="24"/>
          <w:szCs w:val="24"/>
        </w:rPr>
      </w:pPr>
    </w:p>
    <w:p w:rsidR="002E5B9A" w:rsidRDefault="002E5B9A" w:rsidP="00DB658D">
      <w:pPr>
        <w:widowControl w:val="0"/>
        <w:autoSpaceDE w:val="0"/>
        <w:autoSpaceDN w:val="0"/>
        <w:adjustRightInd w:val="0"/>
        <w:ind w:left="567"/>
        <w:rPr>
          <w:rFonts w:asciiTheme="minorHAnsi" w:hAnsiTheme="minorHAnsi"/>
          <w:sz w:val="24"/>
          <w:szCs w:val="24"/>
        </w:rPr>
      </w:pPr>
      <w:r>
        <w:rPr>
          <w:rFonts w:asciiTheme="minorHAnsi" w:hAnsiTheme="minorHAnsi"/>
          <w:sz w:val="24"/>
          <w:szCs w:val="24"/>
        </w:rPr>
        <w:t xml:space="preserve">Comprimé bleu, </w:t>
      </w:r>
      <w:proofErr w:type="gramStart"/>
      <w:r>
        <w:rPr>
          <w:rFonts w:asciiTheme="minorHAnsi" w:hAnsiTheme="minorHAnsi"/>
          <w:sz w:val="24"/>
          <w:szCs w:val="24"/>
        </w:rPr>
        <w:t>rond ,</w:t>
      </w:r>
      <w:proofErr w:type="gramEnd"/>
      <w:r>
        <w:rPr>
          <w:rFonts w:asciiTheme="minorHAnsi" w:hAnsiTheme="minorHAnsi"/>
          <w:sz w:val="24"/>
          <w:szCs w:val="24"/>
        </w:rPr>
        <w:t xml:space="preserve"> biconvexe</w:t>
      </w:r>
    </w:p>
    <w:p w:rsidR="002E5B9A" w:rsidRDefault="002E5B9A" w:rsidP="00DB658D">
      <w:pPr>
        <w:widowControl w:val="0"/>
        <w:autoSpaceDE w:val="0"/>
        <w:autoSpaceDN w:val="0"/>
        <w:adjustRightInd w:val="0"/>
        <w:ind w:left="567"/>
        <w:rPr>
          <w:rFonts w:asciiTheme="minorHAnsi" w:hAnsiTheme="minorHAnsi"/>
          <w:sz w:val="24"/>
          <w:szCs w:val="24"/>
        </w:rPr>
      </w:pPr>
    </w:p>
    <w:p w:rsidR="002E5B9A" w:rsidRPr="006829C3" w:rsidRDefault="002E5B9A" w:rsidP="00DB658D">
      <w:pPr>
        <w:widowControl w:val="0"/>
        <w:autoSpaceDE w:val="0"/>
        <w:autoSpaceDN w:val="0"/>
        <w:adjustRightInd w:val="0"/>
        <w:ind w:left="567"/>
        <w:rPr>
          <w:rFonts w:asciiTheme="minorHAnsi" w:hAnsiTheme="minorHAnsi"/>
          <w:sz w:val="24"/>
          <w:szCs w:val="24"/>
        </w:rPr>
      </w:pPr>
    </w:p>
    <w:p w:rsidR="00282B8D" w:rsidRPr="006829C3" w:rsidRDefault="00282B8D" w:rsidP="00282B8D">
      <w:pPr>
        <w:suppressAutoHyphens/>
        <w:ind w:left="567" w:hanging="567"/>
        <w:rPr>
          <w:rFonts w:asciiTheme="minorHAnsi" w:hAnsiTheme="minorHAnsi"/>
          <w:b/>
          <w:sz w:val="24"/>
          <w:szCs w:val="24"/>
        </w:rPr>
      </w:pPr>
      <w:r w:rsidRPr="006829C3">
        <w:rPr>
          <w:rFonts w:asciiTheme="minorHAnsi" w:hAnsiTheme="minorHAnsi"/>
          <w:b/>
          <w:sz w:val="24"/>
          <w:szCs w:val="24"/>
        </w:rPr>
        <w:t>4.</w:t>
      </w:r>
      <w:r w:rsidRPr="006829C3">
        <w:rPr>
          <w:rFonts w:asciiTheme="minorHAnsi" w:hAnsiTheme="minorHAnsi"/>
          <w:b/>
          <w:sz w:val="24"/>
          <w:szCs w:val="24"/>
        </w:rPr>
        <w:tab/>
        <w:t>DONN</w:t>
      </w:r>
      <w:r w:rsidR="000528D6" w:rsidRPr="006829C3">
        <w:rPr>
          <w:rFonts w:asciiTheme="minorHAnsi" w:hAnsiTheme="minorHAnsi"/>
          <w:b/>
          <w:sz w:val="24"/>
          <w:szCs w:val="24"/>
        </w:rPr>
        <w:t>É</w:t>
      </w:r>
      <w:r w:rsidRPr="006829C3">
        <w:rPr>
          <w:rFonts w:asciiTheme="minorHAnsi" w:hAnsiTheme="minorHAnsi"/>
          <w:b/>
          <w:sz w:val="24"/>
          <w:szCs w:val="24"/>
        </w:rPr>
        <w:t>ES CLINIQUES</w:t>
      </w:r>
    </w:p>
    <w:p w:rsidR="00282B8D" w:rsidRPr="006829C3" w:rsidRDefault="00282B8D" w:rsidP="00DB658D">
      <w:pPr>
        <w:suppressAutoHyphens/>
        <w:ind w:left="567"/>
        <w:rPr>
          <w:rFonts w:asciiTheme="minorHAnsi" w:hAnsiTheme="minorHAnsi"/>
          <w:sz w:val="24"/>
          <w:szCs w:val="24"/>
        </w:rPr>
      </w:pPr>
    </w:p>
    <w:p w:rsidR="00282B8D" w:rsidRPr="006829C3" w:rsidRDefault="00282B8D" w:rsidP="00282B8D">
      <w:pPr>
        <w:suppressAutoHyphens/>
        <w:ind w:left="567" w:hanging="567"/>
        <w:rPr>
          <w:rFonts w:asciiTheme="minorHAnsi" w:hAnsiTheme="minorHAnsi"/>
          <w:b/>
          <w:sz w:val="24"/>
          <w:szCs w:val="24"/>
        </w:rPr>
      </w:pPr>
      <w:r w:rsidRPr="006829C3">
        <w:rPr>
          <w:rFonts w:asciiTheme="minorHAnsi" w:hAnsiTheme="minorHAnsi"/>
          <w:b/>
          <w:sz w:val="24"/>
          <w:szCs w:val="24"/>
        </w:rPr>
        <w:t>4.1</w:t>
      </w:r>
      <w:r w:rsidRPr="006829C3">
        <w:rPr>
          <w:rFonts w:asciiTheme="minorHAnsi" w:hAnsiTheme="minorHAnsi"/>
          <w:b/>
          <w:sz w:val="24"/>
          <w:szCs w:val="24"/>
        </w:rPr>
        <w:tab/>
        <w:t>Indications thérapeutiques</w:t>
      </w:r>
    </w:p>
    <w:p w:rsidR="00282B8D" w:rsidRPr="006829C3" w:rsidRDefault="00282B8D" w:rsidP="00DB658D">
      <w:pPr>
        <w:suppressAutoHyphens/>
        <w:ind w:left="567"/>
        <w:rPr>
          <w:rFonts w:asciiTheme="minorHAnsi" w:hAnsiTheme="minorHAnsi"/>
          <w:sz w:val="24"/>
          <w:szCs w:val="24"/>
        </w:rPr>
      </w:pPr>
    </w:p>
    <w:p w:rsidR="000C2DBE" w:rsidRPr="000C2DBE" w:rsidRDefault="000C2DBE" w:rsidP="000C2DBE">
      <w:pPr>
        <w:suppressAutoHyphens/>
        <w:spacing w:line="312" w:lineRule="auto"/>
        <w:ind w:left="567"/>
        <w:rPr>
          <w:rFonts w:asciiTheme="minorHAnsi" w:hAnsiTheme="minorHAnsi" w:cstheme="minorHAnsi"/>
          <w:sz w:val="24"/>
          <w:szCs w:val="24"/>
        </w:rPr>
      </w:pPr>
      <w:r w:rsidRPr="000C2DBE">
        <w:rPr>
          <w:rFonts w:asciiTheme="minorHAnsi" w:hAnsiTheme="minorHAnsi" w:cstheme="minorHAnsi"/>
          <w:sz w:val="24"/>
          <w:szCs w:val="24"/>
          <w:lang w:val="fr"/>
        </w:rPr>
        <w:t xml:space="preserve">Soulagement des symptômes dans les affections </w:t>
      </w:r>
      <w:r>
        <w:rPr>
          <w:rFonts w:asciiTheme="minorHAnsi" w:hAnsiTheme="minorHAnsi" w:cstheme="minorHAnsi"/>
          <w:sz w:val="24"/>
          <w:szCs w:val="24"/>
          <w:lang w:val="fr"/>
        </w:rPr>
        <w:t>d</w:t>
      </w:r>
      <w:r w:rsidR="003F7302">
        <w:rPr>
          <w:rFonts w:asciiTheme="minorHAnsi" w:hAnsiTheme="minorHAnsi" w:cstheme="minorHAnsi"/>
          <w:sz w:val="24"/>
          <w:szCs w:val="24"/>
          <w:lang w:val="fr"/>
        </w:rPr>
        <w:t>es</w:t>
      </w:r>
      <w:r w:rsidRPr="000C2DBE">
        <w:rPr>
          <w:rFonts w:asciiTheme="minorHAnsi" w:hAnsiTheme="minorHAnsi" w:cstheme="minorHAnsi"/>
          <w:sz w:val="24"/>
          <w:szCs w:val="24"/>
          <w:lang w:val="fr"/>
        </w:rPr>
        <w:t xml:space="preserve"> </w:t>
      </w:r>
      <w:r>
        <w:rPr>
          <w:rFonts w:asciiTheme="minorHAnsi" w:hAnsiTheme="minorHAnsi" w:cstheme="minorHAnsi"/>
          <w:sz w:val="24"/>
          <w:szCs w:val="24"/>
          <w:lang w:val="fr"/>
        </w:rPr>
        <w:t>rhume</w:t>
      </w:r>
      <w:r w:rsidR="003F7302">
        <w:rPr>
          <w:rFonts w:asciiTheme="minorHAnsi" w:hAnsiTheme="minorHAnsi" w:cstheme="minorHAnsi"/>
          <w:sz w:val="24"/>
          <w:szCs w:val="24"/>
          <w:lang w:val="fr"/>
        </w:rPr>
        <w:t>s</w:t>
      </w:r>
      <w:r w:rsidRPr="000C2DBE">
        <w:rPr>
          <w:rFonts w:asciiTheme="minorHAnsi" w:hAnsiTheme="minorHAnsi" w:cstheme="minorHAnsi"/>
          <w:sz w:val="24"/>
          <w:szCs w:val="24"/>
          <w:lang w:val="fr"/>
        </w:rPr>
        <w:t xml:space="preserve"> ou de la grippe avec la douleur (légère ou modérée), la fièvre, la congestion </w:t>
      </w:r>
      <w:r>
        <w:rPr>
          <w:rFonts w:asciiTheme="minorHAnsi" w:hAnsiTheme="minorHAnsi" w:cstheme="minorHAnsi"/>
          <w:sz w:val="24"/>
          <w:szCs w:val="24"/>
          <w:lang w:val="fr"/>
        </w:rPr>
        <w:t xml:space="preserve">et </w:t>
      </w:r>
      <w:r w:rsidRPr="000C2DBE">
        <w:rPr>
          <w:rFonts w:asciiTheme="minorHAnsi" w:hAnsiTheme="minorHAnsi" w:cstheme="minorHAnsi"/>
          <w:sz w:val="24"/>
          <w:szCs w:val="24"/>
          <w:lang w:val="fr"/>
        </w:rPr>
        <w:t xml:space="preserve"> la décharge</w:t>
      </w:r>
      <w:r>
        <w:rPr>
          <w:rFonts w:asciiTheme="minorHAnsi" w:hAnsiTheme="minorHAnsi" w:cstheme="minorHAnsi"/>
          <w:sz w:val="24"/>
          <w:szCs w:val="24"/>
          <w:lang w:val="fr"/>
        </w:rPr>
        <w:t xml:space="preserve"> nasale</w:t>
      </w:r>
      <w:r w:rsidRPr="000C2DBE">
        <w:rPr>
          <w:rFonts w:asciiTheme="minorHAnsi" w:hAnsiTheme="minorHAnsi" w:cstheme="minorHAnsi"/>
          <w:sz w:val="24"/>
          <w:szCs w:val="24"/>
          <w:lang w:val="fr"/>
        </w:rPr>
        <w:t xml:space="preserve"> et la rhinite </w:t>
      </w:r>
      <w:proofErr w:type="gramStart"/>
      <w:r w:rsidRPr="000C2DBE">
        <w:rPr>
          <w:rFonts w:asciiTheme="minorHAnsi" w:hAnsiTheme="minorHAnsi" w:cstheme="minorHAnsi"/>
          <w:sz w:val="24"/>
          <w:szCs w:val="24"/>
          <w:lang w:val="fr"/>
        </w:rPr>
        <w:t xml:space="preserve">allergique </w:t>
      </w:r>
      <w:r>
        <w:rPr>
          <w:rFonts w:asciiTheme="minorHAnsi" w:hAnsiTheme="minorHAnsi" w:cstheme="minorHAnsi"/>
          <w:sz w:val="24"/>
          <w:szCs w:val="24"/>
          <w:lang w:val="fr"/>
        </w:rPr>
        <w:t>.</w:t>
      </w:r>
      <w:proofErr w:type="gramEnd"/>
    </w:p>
    <w:p w:rsidR="00282B8D" w:rsidRPr="006829C3" w:rsidRDefault="00282B8D" w:rsidP="00183134">
      <w:pPr>
        <w:suppressAutoHyphens/>
        <w:ind w:left="567"/>
        <w:rPr>
          <w:rFonts w:asciiTheme="minorHAnsi" w:hAnsiTheme="minorHAnsi"/>
          <w:sz w:val="24"/>
          <w:szCs w:val="24"/>
        </w:rPr>
      </w:pPr>
    </w:p>
    <w:p w:rsidR="00282B8D" w:rsidRPr="006829C3" w:rsidRDefault="00282B8D" w:rsidP="00282B8D">
      <w:pPr>
        <w:suppressAutoHyphens/>
        <w:ind w:left="567" w:hanging="567"/>
        <w:rPr>
          <w:rFonts w:asciiTheme="minorHAnsi" w:hAnsiTheme="minorHAnsi"/>
          <w:b/>
          <w:sz w:val="24"/>
          <w:szCs w:val="24"/>
        </w:rPr>
      </w:pPr>
      <w:r w:rsidRPr="006829C3">
        <w:rPr>
          <w:rFonts w:asciiTheme="minorHAnsi" w:hAnsiTheme="minorHAnsi"/>
          <w:b/>
          <w:sz w:val="24"/>
          <w:szCs w:val="24"/>
        </w:rPr>
        <w:t>4.2</w:t>
      </w:r>
      <w:r w:rsidRPr="006829C3">
        <w:rPr>
          <w:rFonts w:asciiTheme="minorHAnsi" w:hAnsiTheme="minorHAnsi"/>
          <w:b/>
          <w:sz w:val="24"/>
          <w:szCs w:val="24"/>
        </w:rPr>
        <w:tab/>
        <w:t>Posologie et mode d’administration</w:t>
      </w:r>
    </w:p>
    <w:p w:rsidR="00282B8D" w:rsidRPr="006829C3" w:rsidRDefault="00282B8D" w:rsidP="00DB658D">
      <w:pPr>
        <w:suppressAutoHyphens/>
        <w:ind w:left="567"/>
        <w:rPr>
          <w:rFonts w:asciiTheme="minorHAnsi" w:hAnsiTheme="minorHAnsi"/>
          <w:sz w:val="24"/>
          <w:szCs w:val="24"/>
        </w:rPr>
      </w:pPr>
    </w:p>
    <w:p w:rsidR="00282B8D" w:rsidRPr="006829C3" w:rsidRDefault="00282B8D" w:rsidP="004D2B5D">
      <w:pPr>
        <w:suppressAutoHyphens/>
        <w:ind w:left="1134" w:hanging="567"/>
        <w:rPr>
          <w:rFonts w:asciiTheme="minorHAnsi" w:hAnsiTheme="minorHAnsi"/>
          <w:noProof/>
          <w:sz w:val="24"/>
          <w:szCs w:val="24"/>
          <w:u w:val="single"/>
        </w:rPr>
      </w:pPr>
      <w:r w:rsidRPr="006829C3">
        <w:rPr>
          <w:rFonts w:asciiTheme="minorHAnsi" w:hAnsiTheme="minorHAnsi"/>
          <w:noProof/>
          <w:sz w:val="24"/>
          <w:szCs w:val="24"/>
          <w:u w:val="single"/>
        </w:rPr>
        <w:t>Posologie</w:t>
      </w:r>
    </w:p>
    <w:p w:rsidR="00183134" w:rsidRPr="002E5B9A" w:rsidRDefault="00183134" w:rsidP="00DB658D">
      <w:pPr>
        <w:suppressAutoHyphens/>
        <w:ind w:left="567"/>
        <w:rPr>
          <w:rFonts w:asciiTheme="minorHAnsi" w:hAnsiTheme="minorHAnsi" w:cstheme="majorBidi"/>
          <w:bCs/>
          <w:color w:val="000000"/>
          <w:sz w:val="24"/>
          <w:szCs w:val="24"/>
          <w:lang w:val="fr-BE"/>
        </w:rPr>
      </w:pPr>
    </w:p>
    <w:p w:rsidR="00282B8D" w:rsidRPr="006523F0" w:rsidRDefault="006523F0" w:rsidP="00DB658D">
      <w:pPr>
        <w:suppressAutoHyphens/>
        <w:ind w:left="567"/>
        <w:rPr>
          <w:rFonts w:asciiTheme="minorHAnsi" w:hAnsiTheme="minorHAnsi" w:cstheme="majorBidi"/>
          <w:bCs/>
          <w:color w:val="000000"/>
          <w:sz w:val="24"/>
          <w:szCs w:val="24"/>
        </w:rPr>
      </w:pPr>
      <w:r w:rsidRPr="006523F0">
        <w:rPr>
          <w:rFonts w:asciiTheme="minorHAnsi" w:hAnsiTheme="minorHAnsi" w:cstheme="majorBidi"/>
          <w:bCs/>
          <w:color w:val="000000"/>
          <w:sz w:val="24"/>
          <w:szCs w:val="24"/>
        </w:rPr>
        <w:t>La dose habituelle pour les adultes et les enfants de plus de 12 ans est d</w:t>
      </w:r>
      <w:r>
        <w:rPr>
          <w:rFonts w:asciiTheme="minorHAnsi" w:hAnsiTheme="minorHAnsi" w:cstheme="majorBidi"/>
          <w:bCs/>
          <w:color w:val="000000"/>
          <w:sz w:val="24"/>
          <w:szCs w:val="24"/>
        </w:rPr>
        <w:t>’</w:t>
      </w:r>
      <w:r w:rsidRPr="006523F0">
        <w:rPr>
          <w:rFonts w:asciiTheme="minorHAnsi" w:hAnsiTheme="minorHAnsi" w:cstheme="majorBidi"/>
          <w:bCs/>
          <w:color w:val="000000"/>
          <w:sz w:val="24"/>
          <w:szCs w:val="24"/>
        </w:rPr>
        <w:t>un comprimé administ</w:t>
      </w:r>
      <w:r>
        <w:rPr>
          <w:rFonts w:asciiTheme="minorHAnsi" w:hAnsiTheme="minorHAnsi" w:cstheme="majorBidi"/>
          <w:bCs/>
          <w:color w:val="000000"/>
          <w:sz w:val="24"/>
          <w:szCs w:val="24"/>
        </w:rPr>
        <w:t>ré avec un intervalle de minimum</w:t>
      </w:r>
      <w:r w:rsidRPr="006523F0">
        <w:rPr>
          <w:rFonts w:asciiTheme="minorHAnsi" w:hAnsiTheme="minorHAnsi" w:cstheme="majorBidi"/>
          <w:bCs/>
          <w:color w:val="000000"/>
          <w:sz w:val="24"/>
          <w:szCs w:val="24"/>
        </w:rPr>
        <w:t xml:space="preserve"> 6 heures, </w:t>
      </w:r>
      <w:r>
        <w:rPr>
          <w:rFonts w:asciiTheme="minorHAnsi" w:hAnsiTheme="minorHAnsi" w:cstheme="majorBidi"/>
          <w:bCs/>
          <w:color w:val="000000"/>
          <w:sz w:val="24"/>
          <w:szCs w:val="24"/>
        </w:rPr>
        <w:t>correspondant à</w:t>
      </w:r>
      <w:r w:rsidRPr="006523F0">
        <w:rPr>
          <w:rFonts w:asciiTheme="minorHAnsi" w:hAnsiTheme="minorHAnsi" w:cstheme="majorBidi"/>
          <w:bCs/>
          <w:color w:val="000000"/>
          <w:sz w:val="24"/>
          <w:szCs w:val="24"/>
        </w:rPr>
        <w:t xml:space="preserve"> un maximum de 4 comprimés par jour.</w:t>
      </w:r>
    </w:p>
    <w:p w:rsidR="006523F0" w:rsidRPr="006523F0" w:rsidRDefault="006523F0" w:rsidP="00DB658D">
      <w:pPr>
        <w:suppressAutoHyphens/>
        <w:ind w:left="567"/>
        <w:rPr>
          <w:rFonts w:asciiTheme="minorHAnsi" w:hAnsiTheme="minorHAnsi"/>
          <w:sz w:val="24"/>
          <w:szCs w:val="24"/>
        </w:rPr>
      </w:pPr>
    </w:p>
    <w:p w:rsidR="00282B8D" w:rsidRPr="006829C3" w:rsidRDefault="00282B8D" w:rsidP="004D2B5D">
      <w:pPr>
        <w:ind w:left="567"/>
        <w:rPr>
          <w:rFonts w:asciiTheme="minorHAnsi" w:hAnsiTheme="minorHAnsi"/>
          <w:noProof/>
          <w:sz w:val="24"/>
          <w:szCs w:val="24"/>
          <w:u w:val="single"/>
        </w:rPr>
      </w:pPr>
      <w:r w:rsidRPr="006829C3">
        <w:rPr>
          <w:rFonts w:asciiTheme="minorHAnsi" w:hAnsiTheme="minorHAnsi"/>
          <w:noProof/>
          <w:sz w:val="24"/>
          <w:szCs w:val="24"/>
          <w:u w:val="single"/>
        </w:rPr>
        <w:t>Mode d’administration</w:t>
      </w:r>
    </w:p>
    <w:p w:rsidR="00282B8D" w:rsidRPr="006829C3" w:rsidRDefault="00282B8D" w:rsidP="00DB658D">
      <w:pPr>
        <w:suppressAutoHyphens/>
        <w:ind w:left="567"/>
        <w:rPr>
          <w:rFonts w:asciiTheme="minorHAnsi" w:hAnsiTheme="minorHAnsi"/>
          <w:sz w:val="24"/>
          <w:szCs w:val="24"/>
        </w:rPr>
      </w:pPr>
    </w:p>
    <w:p w:rsidR="00183134" w:rsidRDefault="00183134" w:rsidP="00183134">
      <w:pPr>
        <w:widowControl w:val="0"/>
        <w:autoSpaceDE w:val="0"/>
        <w:autoSpaceDN w:val="0"/>
        <w:adjustRightInd w:val="0"/>
        <w:ind w:left="567"/>
        <w:rPr>
          <w:rFonts w:asciiTheme="minorHAnsi" w:hAnsiTheme="minorHAnsi"/>
          <w:sz w:val="24"/>
          <w:szCs w:val="24"/>
        </w:rPr>
      </w:pPr>
      <w:r w:rsidRPr="006829C3">
        <w:rPr>
          <w:rFonts w:asciiTheme="minorHAnsi" w:hAnsiTheme="minorHAnsi"/>
          <w:sz w:val="24"/>
          <w:szCs w:val="24"/>
        </w:rPr>
        <w:t>Comprime à usage orale</w:t>
      </w:r>
    </w:p>
    <w:p w:rsidR="003F7302" w:rsidRPr="006829C3" w:rsidRDefault="003F7302" w:rsidP="005C7B00">
      <w:pPr>
        <w:widowControl w:val="0"/>
        <w:autoSpaceDE w:val="0"/>
        <w:autoSpaceDN w:val="0"/>
        <w:adjustRightInd w:val="0"/>
        <w:ind w:left="567"/>
        <w:rPr>
          <w:rFonts w:asciiTheme="minorHAnsi" w:hAnsiTheme="minorHAnsi"/>
          <w:sz w:val="24"/>
          <w:szCs w:val="24"/>
        </w:rPr>
      </w:pPr>
    </w:p>
    <w:p w:rsidR="003F7302" w:rsidRDefault="003F7302" w:rsidP="005C7B00">
      <w:pPr>
        <w:suppressAutoHyphens/>
        <w:ind w:left="567"/>
        <w:rPr>
          <w:rFonts w:asciiTheme="minorHAnsi" w:hAnsiTheme="minorHAnsi" w:cstheme="minorHAnsi"/>
          <w:sz w:val="24"/>
          <w:szCs w:val="24"/>
          <w:lang w:val="fr"/>
        </w:rPr>
      </w:pPr>
      <w:r w:rsidRPr="003F7302">
        <w:rPr>
          <w:rFonts w:asciiTheme="minorHAnsi" w:hAnsiTheme="minorHAnsi" w:cstheme="minorHAnsi"/>
          <w:sz w:val="24"/>
          <w:szCs w:val="24"/>
          <w:lang w:val="fr"/>
        </w:rPr>
        <w:t>Comprimé</w:t>
      </w:r>
      <w:r w:rsidR="00595104">
        <w:rPr>
          <w:rFonts w:asciiTheme="minorHAnsi" w:hAnsiTheme="minorHAnsi" w:cstheme="minorHAnsi"/>
          <w:sz w:val="24"/>
          <w:szCs w:val="24"/>
          <w:lang w:val="fr"/>
        </w:rPr>
        <w:t xml:space="preserve"> complet</w:t>
      </w:r>
      <w:r w:rsidRPr="003F7302">
        <w:rPr>
          <w:rFonts w:asciiTheme="minorHAnsi" w:hAnsiTheme="minorHAnsi" w:cstheme="minorHAnsi"/>
          <w:sz w:val="24"/>
          <w:szCs w:val="24"/>
          <w:lang w:val="fr"/>
        </w:rPr>
        <w:t xml:space="preserve"> à avaler avec un verre d’eau</w:t>
      </w:r>
      <w:r w:rsidR="00595104">
        <w:rPr>
          <w:rFonts w:asciiTheme="minorHAnsi" w:hAnsiTheme="minorHAnsi" w:cstheme="minorHAnsi"/>
          <w:sz w:val="24"/>
          <w:szCs w:val="24"/>
          <w:lang w:val="fr"/>
        </w:rPr>
        <w:t>.</w:t>
      </w:r>
    </w:p>
    <w:p w:rsidR="003F7302" w:rsidRPr="00595104" w:rsidRDefault="003F7302" w:rsidP="005C7B00">
      <w:pPr>
        <w:suppressAutoHyphens/>
        <w:ind w:left="567"/>
        <w:rPr>
          <w:rFonts w:asciiTheme="minorHAnsi" w:hAnsiTheme="minorHAnsi" w:cstheme="minorHAnsi"/>
          <w:sz w:val="24"/>
          <w:szCs w:val="24"/>
          <w:lang w:val="fr"/>
        </w:rPr>
      </w:pPr>
    </w:p>
    <w:p w:rsidR="00282B8D" w:rsidRDefault="00282B8D" w:rsidP="00282B8D">
      <w:pPr>
        <w:suppressAutoHyphens/>
        <w:ind w:left="567" w:hanging="567"/>
        <w:rPr>
          <w:rFonts w:asciiTheme="minorHAnsi" w:hAnsiTheme="minorHAnsi"/>
          <w:b/>
          <w:sz w:val="24"/>
          <w:szCs w:val="24"/>
        </w:rPr>
      </w:pPr>
      <w:r w:rsidRPr="006829C3">
        <w:rPr>
          <w:rFonts w:asciiTheme="minorHAnsi" w:hAnsiTheme="minorHAnsi"/>
          <w:b/>
          <w:sz w:val="24"/>
          <w:szCs w:val="24"/>
        </w:rPr>
        <w:lastRenderedPageBreak/>
        <w:t>4.3</w:t>
      </w:r>
      <w:r w:rsidRPr="006829C3">
        <w:rPr>
          <w:rFonts w:asciiTheme="minorHAnsi" w:hAnsiTheme="minorHAnsi"/>
          <w:b/>
          <w:sz w:val="24"/>
          <w:szCs w:val="24"/>
        </w:rPr>
        <w:tab/>
        <w:t>Contre-indications</w:t>
      </w:r>
    </w:p>
    <w:p w:rsidR="003F7302" w:rsidRPr="006829C3" w:rsidRDefault="003F7302" w:rsidP="00282B8D">
      <w:pPr>
        <w:suppressAutoHyphens/>
        <w:ind w:left="567" w:hanging="567"/>
        <w:rPr>
          <w:rFonts w:asciiTheme="minorHAnsi" w:hAnsiTheme="minorHAnsi"/>
          <w:b/>
          <w:sz w:val="24"/>
          <w:szCs w:val="24"/>
        </w:rPr>
      </w:pPr>
    </w:p>
    <w:p w:rsidR="00E6522D" w:rsidRPr="006829C3" w:rsidRDefault="00E6522D" w:rsidP="00E6522D">
      <w:pPr>
        <w:pStyle w:val="ListParagraph"/>
        <w:widowControl w:val="0"/>
        <w:numPr>
          <w:ilvl w:val="0"/>
          <w:numId w:val="5"/>
        </w:numPr>
        <w:autoSpaceDE w:val="0"/>
        <w:autoSpaceDN w:val="0"/>
        <w:adjustRightInd w:val="0"/>
        <w:rPr>
          <w:rFonts w:asciiTheme="minorHAnsi" w:hAnsiTheme="minorHAnsi"/>
          <w:sz w:val="24"/>
          <w:szCs w:val="24"/>
        </w:rPr>
      </w:pPr>
      <w:r w:rsidRPr="006829C3">
        <w:rPr>
          <w:rFonts w:asciiTheme="minorHAnsi" w:hAnsiTheme="minorHAnsi"/>
          <w:sz w:val="24"/>
          <w:szCs w:val="24"/>
        </w:rPr>
        <w:t>Hypersensibilité aux substances actives ou à l’un des excipients mentionnés à la rubrique 6.1.</w:t>
      </w:r>
    </w:p>
    <w:p w:rsidR="00E6522D" w:rsidRPr="006829C3" w:rsidRDefault="00E6522D" w:rsidP="00E6522D">
      <w:pPr>
        <w:pStyle w:val="ListParagraph"/>
        <w:widowControl w:val="0"/>
        <w:numPr>
          <w:ilvl w:val="0"/>
          <w:numId w:val="5"/>
        </w:numPr>
        <w:autoSpaceDE w:val="0"/>
        <w:autoSpaceDN w:val="0"/>
        <w:adjustRightInd w:val="0"/>
        <w:rPr>
          <w:rFonts w:asciiTheme="minorHAnsi" w:hAnsiTheme="minorHAnsi"/>
          <w:sz w:val="24"/>
          <w:szCs w:val="24"/>
        </w:rPr>
      </w:pPr>
      <w:r w:rsidRPr="006829C3">
        <w:rPr>
          <w:rFonts w:asciiTheme="minorHAnsi" w:hAnsiTheme="minorHAnsi"/>
          <w:sz w:val="24"/>
          <w:szCs w:val="24"/>
        </w:rPr>
        <w:t>Enfants de moins de 12 ans.</w:t>
      </w:r>
    </w:p>
    <w:p w:rsidR="00E6522D" w:rsidRPr="006829C3" w:rsidRDefault="00E6522D" w:rsidP="00E6522D">
      <w:pPr>
        <w:pStyle w:val="ListParagraph"/>
        <w:widowControl w:val="0"/>
        <w:numPr>
          <w:ilvl w:val="0"/>
          <w:numId w:val="5"/>
        </w:numPr>
        <w:autoSpaceDE w:val="0"/>
        <w:autoSpaceDN w:val="0"/>
        <w:adjustRightInd w:val="0"/>
        <w:rPr>
          <w:rFonts w:asciiTheme="minorHAnsi" w:hAnsiTheme="minorHAnsi"/>
          <w:sz w:val="24"/>
          <w:szCs w:val="24"/>
        </w:rPr>
      </w:pPr>
      <w:r w:rsidRPr="006829C3">
        <w:rPr>
          <w:rFonts w:asciiTheme="minorHAnsi" w:hAnsiTheme="minorHAnsi"/>
          <w:sz w:val="24"/>
          <w:szCs w:val="24"/>
        </w:rPr>
        <w:t>Contre-indication liée à la présence de chlorphénamine</w:t>
      </w:r>
    </w:p>
    <w:p w:rsidR="00E6522D" w:rsidRPr="00595104" w:rsidRDefault="00E6522D" w:rsidP="00595104">
      <w:pPr>
        <w:pStyle w:val="ListParagraph"/>
        <w:widowControl w:val="0"/>
        <w:numPr>
          <w:ilvl w:val="1"/>
          <w:numId w:val="5"/>
        </w:numPr>
        <w:autoSpaceDE w:val="0"/>
        <w:autoSpaceDN w:val="0"/>
        <w:adjustRightInd w:val="0"/>
        <w:rPr>
          <w:rFonts w:asciiTheme="minorHAnsi" w:hAnsiTheme="minorHAnsi"/>
          <w:sz w:val="24"/>
          <w:szCs w:val="24"/>
        </w:rPr>
      </w:pPr>
      <w:r w:rsidRPr="00595104">
        <w:rPr>
          <w:rFonts w:asciiTheme="minorHAnsi" w:hAnsiTheme="minorHAnsi"/>
          <w:sz w:val="24"/>
          <w:szCs w:val="24"/>
        </w:rPr>
        <w:t>Glaucome par fermeture de l'angle</w:t>
      </w:r>
    </w:p>
    <w:p w:rsidR="00E6522D" w:rsidRPr="00595104" w:rsidRDefault="00E6522D" w:rsidP="00595104">
      <w:pPr>
        <w:pStyle w:val="ListParagraph"/>
        <w:widowControl w:val="0"/>
        <w:numPr>
          <w:ilvl w:val="1"/>
          <w:numId w:val="5"/>
        </w:numPr>
        <w:autoSpaceDE w:val="0"/>
        <w:autoSpaceDN w:val="0"/>
        <w:adjustRightInd w:val="0"/>
        <w:rPr>
          <w:rFonts w:asciiTheme="minorHAnsi" w:hAnsiTheme="minorHAnsi"/>
          <w:sz w:val="24"/>
          <w:szCs w:val="24"/>
        </w:rPr>
      </w:pPr>
      <w:r w:rsidRPr="00595104">
        <w:rPr>
          <w:rFonts w:asciiTheme="minorHAnsi" w:hAnsiTheme="minorHAnsi"/>
          <w:sz w:val="24"/>
          <w:szCs w:val="24"/>
        </w:rPr>
        <w:t xml:space="preserve">Rétention urinaire liée à des troubles des voies urinaires ou de la prostate </w:t>
      </w:r>
    </w:p>
    <w:p w:rsidR="00E6522D" w:rsidRPr="006829C3" w:rsidRDefault="00E6522D" w:rsidP="00E6522D">
      <w:pPr>
        <w:pStyle w:val="ListParagraph"/>
        <w:widowControl w:val="0"/>
        <w:numPr>
          <w:ilvl w:val="0"/>
          <w:numId w:val="5"/>
        </w:numPr>
        <w:autoSpaceDE w:val="0"/>
        <w:autoSpaceDN w:val="0"/>
        <w:adjustRightInd w:val="0"/>
        <w:rPr>
          <w:rFonts w:asciiTheme="minorHAnsi" w:hAnsiTheme="minorHAnsi"/>
          <w:sz w:val="24"/>
          <w:szCs w:val="24"/>
        </w:rPr>
      </w:pPr>
      <w:r w:rsidRPr="006829C3">
        <w:rPr>
          <w:rFonts w:asciiTheme="minorHAnsi" w:hAnsiTheme="minorHAnsi"/>
          <w:sz w:val="24"/>
          <w:szCs w:val="24"/>
        </w:rPr>
        <w:t xml:space="preserve">Contre-indication liée à la présence de </w:t>
      </w:r>
      <w:proofErr w:type="spellStart"/>
      <w:r w:rsidRPr="006829C3">
        <w:rPr>
          <w:rFonts w:asciiTheme="minorHAnsi" w:hAnsiTheme="minorHAnsi"/>
          <w:sz w:val="24"/>
          <w:szCs w:val="24"/>
        </w:rPr>
        <w:t>phényléphrine</w:t>
      </w:r>
      <w:proofErr w:type="spellEnd"/>
    </w:p>
    <w:p w:rsidR="00E6522D" w:rsidRPr="00595104" w:rsidRDefault="00E6522D" w:rsidP="00595104">
      <w:pPr>
        <w:pStyle w:val="ListParagraph"/>
        <w:widowControl w:val="0"/>
        <w:numPr>
          <w:ilvl w:val="1"/>
          <w:numId w:val="5"/>
        </w:numPr>
        <w:autoSpaceDE w:val="0"/>
        <w:autoSpaceDN w:val="0"/>
        <w:adjustRightInd w:val="0"/>
        <w:rPr>
          <w:rFonts w:asciiTheme="minorHAnsi" w:hAnsiTheme="minorHAnsi"/>
          <w:sz w:val="24"/>
          <w:szCs w:val="24"/>
        </w:rPr>
      </w:pPr>
      <w:r w:rsidRPr="00595104">
        <w:rPr>
          <w:rFonts w:asciiTheme="minorHAnsi" w:hAnsiTheme="minorHAnsi"/>
          <w:sz w:val="24"/>
          <w:szCs w:val="24"/>
        </w:rPr>
        <w:t xml:space="preserve">Hypertension non contrôlée et d’affection cardio-vasculaire grave </w:t>
      </w:r>
    </w:p>
    <w:p w:rsidR="00E6522D" w:rsidRPr="00595104" w:rsidRDefault="00233748" w:rsidP="00595104">
      <w:pPr>
        <w:pStyle w:val="ListParagraph"/>
        <w:widowControl w:val="0"/>
        <w:numPr>
          <w:ilvl w:val="1"/>
          <w:numId w:val="5"/>
        </w:numPr>
        <w:autoSpaceDE w:val="0"/>
        <w:autoSpaceDN w:val="0"/>
        <w:adjustRightInd w:val="0"/>
        <w:rPr>
          <w:rFonts w:asciiTheme="minorHAnsi" w:hAnsiTheme="minorHAnsi"/>
          <w:sz w:val="24"/>
          <w:szCs w:val="24"/>
        </w:rPr>
      </w:pPr>
      <w:r w:rsidRPr="00595104">
        <w:rPr>
          <w:rFonts w:asciiTheme="minorHAnsi" w:hAnsiTheme="minorHAnsi"/>
          <w:sz w:val="24"/>
          <w:szCs w:val="24"/>
        </w:rPr>
        <w:t>Traitement par</w:t>
      </w:r>
      <w:r w:rsidR="00E6522D" w:rsidRPr="00595104">
        <w:rPr>
          <w:rFonts w:asciiTheme="minorHAnsi" w:hAnsiTheme="minorHAnsi"/>
          <w:sz w:val="24"/>
          <w:szCs w:val="24"/>
        </w:rPr>
        <w:t xml:space="preserve"> inhibiteurs des </w:t>
      </w:r>
      <w:proofErr w:type="spellStart"/>
      <w:r w:rsidR="00E6522D" w:rsidRPr="00595104">
        <w:rPr>
          <w:rFonts w:asciiTheme="minorHAnsi" w:hAnsiTheme="minorHAnsi"/>
          <w:sz w:val="24"/>
          <w:szCs w:val="24"/>
        </w:rPr>
        <w:t>monoamineoxydases</w:t>
      </w:r>
      <w:proofErr w:type="spellEnd"/>
      <w:r w:rsidR="00E6522D" w:rsidRPr="00595104">
        <w:rPr>
          <w:rFonts w:asciiTheme="minorHAnsi" w:hAnsiTheme="minorHAnsi"/>
          <w:sz w:val="24"/>
          <w:szCs w:val="24"/>
        </w:rPr>
        <w:t xml:space="preserve"> (IMAO</w:t>
      </w:r>
      <w:r w:rsidR="00F75208" w:rsidRPr="00595104">
        <w:rPr>
          <w:rFonts w:asciiTheme="minorHAnsi" w:hAnsiTheme="minorHAnsi"/>
          <w:sz w:val="24"/>
          <w:szCs w:val="24"/>
        </w:rPr>
        <w:t>)</w:t>
      </w:r>
    </w:p>
    <w:p w:rsidR="006523F0" w:rsidRPr="006829C3" w:rsidRDefault="006523F0" w:rsidP="006523F0">
      <w:pPr>
        <w:pStyle w:val="ListParagraph"/>
        <w:widowControl w:val="0"/>
        <w:numPr>
          <w:ilvl w:val="0"/>
          <w:numId w:val="5"/>
        </w:numPr>
        <w:autoSpaceDE w:val="0"/>
        <w:autoSpaceDN w:val="0"/>
        <w:adjustRightInd w:val="0"/>
        <w:rPr>
          <w:rFonts w:asciiTheme="minorHAnsi" w:hAnsiTheme="minorHAnsi"/>
          <w:sz w:val="24"/>
          <w:szCs w:val="24"/>
        </w:rPr>
      </w:pPr>
      <w:r w:rsidRPr="006829C3">
        <w:rPr>
          <w:rFonts w:asciiTheme="minorHAnsi" w:hAnsiTheme="minorHAnsi"/>
          <w:sz w:val="24"/>
          <w:szCs w:val="24"/>
        </w:rPr>
        <w:t>Contre-indication liée à la présence de paracétamol</w:t>
      </w:r>
    </w:p>
    <w:p w:rsidR="006523F0" w:rsidRPr="00595104" w:rsidRDefault="006523F0" w:rsidP="00595104">
      <w:pPr>
        <w:pStyle w:val="ListParagraph"/>
        <w:widowControl w:val="0"/>
        <w:numPr>
          <w:ilvl w:val="1"/>
          <w:numId w:val="5"/>
        </w:numPr>
        <w:autoSpaceDE w:val="0"/>
        <w:autoSpaceDN w:val="0"/>
        <w:adjustRightInd w:val="0"/>
        <w:rPr>
          <w:rFonts w:asciiTheme="minorHAnsi" w:hAnsiTheme="minorHAnsi"/>
          <w:sz w:val="24"/>
          <w:szCs w:val="24"/>
        </w:rPr>
      </w:pPr>
      <w:r w:rsidRPr="00595104">
        <w:rPr>
          <w:rFonts w:asciiTheme="minorHAnsi" w:hAnsiTheme="minorHAnsi"/>
          <w:sz w:val="24"/>
          <w:szCs w:val="24"/>
        </w:rPr>
        <w:t>Insuffisance hépatocellulaire sévère</w:t>
      </w:r>
    </w:p>
    <w:p w:rsidR="00282B8D" w:rsidRPr="006829C3" w:rsidRDefault="00282B8D" w:rsidP="00E6522D">
      <w:pPr>
        <w:widowControl w:val="0"/>
        <w:autoSpaceDE w:val="0"/>
        <w:autoSpaceDN w:val="0"/>
        <w:adjustRightInd w:val="0"/>
        <w:ind w:left="567"/>
        <w:rPr>
          <w:rFonts w:asciiTheme="minorHAnsi" w:hAnsiTheme="minorHAnsi"/>
          <w:sz w:val="24"/>
          <w:szCs w:val="24"/>
        </w:rPr>
      </w:pPr>
    </w:p>
    <w:p w:rsidR="00282B8D" w:rsidRPr="006829C3" w:rsidRDefault="00282B8D" w:rsidP="00282B8D">
      <w:pPr>
        <w:suppressAutoHyphens/>
        <w:ind w:left="567" w:hanging="567"/>
        <w:rPr>
          <w:rFonts w:asciiTheme="minorHAnsi" w:hAnsiTheme="minorHAnsi"/>
          <w:b/>
          <w:sz w:val="24"/>
          <w:szCs w:val="24"/>
        </w:rPr>
      </w:pPr>
      <w:r w:rsidRPr="006829C3">
        <w:rPr>
          <w:rFonts w:asciiTheme="minorHAnsi" w:hAnsiTheme="minorHAnsi"/>
          <w:b/>
          <w:sz w:val="24"/>
          <w:szCs w:val="24"/>
        </w:rPr>
        <w:t>4.4</w:t>
      </w:r>
      <w:r w:rsidRPr="006829C3">
        <w:rPr>
          <w:rFonts w:asciiTheme="minorHAnsi" w:hAnsiTheme="minorHAnsi"/>
          <w:b/>
          <w:sz w:val="24"/>
          <w:szCs w:val="24"/>
        </w:rPr>
        <w:tab/>
        <w:t>Mises en garde spéciales et précautions d’emploi</w:t>
      </w:r>
    </w:p>
    <w:p w:rsidR="00282B8D" w:rsidRPr="006829C3" w:rsidRDefault="00282B8D" w:rsidP="00282B8D">
      <w:pPr>
        <w:suppressAutoHyphens/>
        <w:ind w:left="567" w:hanging="567"/>
        <w:rPr>
          <w:rFonts w:asciiTheme="minorHAnsi" w:hAnsiTheme="minorHAnsi"/>
          <w:b/>
          <w:sz w:val="24"/>
          <w:szCs w:val="24"/>
        </w:rPr>
      </w:pPr>
    </w:p>
    <w:p w:rsidR="001C56DA" w:rsidRPr="001C56DA" w:rsidRDefault="001C56DA" w:rsidP="001C56DA">
      <w:pPr>
        <w:pStyle w:val="EMEAEnBodyText"/>
        <w:autoSpaceDE w:val="0"/>
        <w:autoSpaceDN w:val="0"/>
        <w:adjustRightInd w:val="0"/>
        <w:spacing w:before="0" w:after="0"/>
        <w:ind w:left="567"/>
        <w:rPr>
          <w:rFonts w:asciiTheme="minorHAnsi" w:hAnsiTheme="minorHAnsi"/>
          <w:b/>
          <w:i/>
          <w:sz w:val="24"/>
          <w:szCs w:val="24"/>
          <w:lang w:val="fr-FR"/>
        </w:rPr>
      </w:pPr>
      <w:r w:rsidRPr="001C56DA">
        <w:rPr>
          <w:rFonts w:asciiTheme="minorHAnsi" w:hAnsiTheme="minorHAnsi"/>
          <w:b/>
          <w:i/>
          <w:sz w:val="24"/>
          <w:szCs w:val="24"/>
          <w:lang w:val="fr-FR"/>
        </w:rPr>
        <w:t>Mises en garde liée à la présence de paracétamol</w:t>
      </w:r>
    </w:p>
    <w:p w:rsidR="001C56DA" w:rsidRPr="006829C3" w:rsidRDefault="001C56DA" w:rsidP="001C56DA">
      <w:pPr>
        <w:pStyle w:val="EMEAEnBodyText"/>
        <w:autoSpaceDE w:val="0"/>
        <w:autoSpaceDN w:val="0"/>
        <w:adjustRightInd w:val="0"/>
        <w:spacing w:before="0" w:after="0"/>
        <w:ind w:left="567"/>
        <w:rPr>
          <w:rFonts w:asciiTheme="minorHAnsi" w:hAnsiTheme="minorHAnsi"/>
          <w:sz w:val="24"/>
          <w:szCs w:val="24"/>
          <w:lang w:val="fr-FR"/>
        </w:rPr>
      </w:pPr>
    </w:p>
    <w:p w:rsidR="001C56DA" w:rsidRPr="006829C3" w:rsidRDefault="001C56DA" w:rsidP="001C56DA">
      <w:pPr>
        <w:pStyle w:val="EMEAEnBodyText"/>
        <w:autoSpaceDE w:val="0"/>
        <w:autoSpaceDN w:val="0"/>
        <w:adjustRightInd w:val="0"/>
        <w:spacing w:before="0" w:after="0"/>
        <w:ind w:left="567"/>
        <w:rPr>
          <w:rFonts w:asciiTheme="minorHAnsi" w:hAnsiTheme="minorHAnsi"/>
          <w:sz w:val="24"/>
          <w:szCs w:val="24"/>
          <w:lang w:val="fr-FR"/>
        </w:rPr>
      </w:pPr>
      <w:r w:rsidRPr="006829C3">
        <w:rPr>
          <w:rFonts w:asciiTheme="minorHAnsi" w:hAnsiTheme="minorHAnsi"/>
          <w:sz w:val="24"/>
          <w:szCs w:val="24"/>
          <w:lang w:val="fr-FR"/>
        </w:rPr>
        <w:t xml:space="preserve">L'utilisation prolongée, fréquente ou la prise simultanément d'autres produits contenant du paracétamol est déconseillée. </w:t>
      </w:r>
    </w:p>
    <w:p w:rsidR="001C56DA" w:rsidRPr="006829C3" w:rsidRDefault="001C56DA" w:rsidP="001C56DA">
      <w:pPr>
        <w:pStyle w:val="EMEAEnBodyText"/>
        <w:autoSpaceDE w:val="0"/>
        <w:autoSpaceDN w:val="0"/>
        <w:adjustRightInd w:val="0"/>
        <w:spacing w:before="0" w:after="0"/>
        <w:ind w:left="567"/>
        <w:rPr>
          <w:rFonts w:asciiTheme="minorHAnsi" w:hAnsiTheme="minorHAnsi"/>
          <w:sz w:val="24"/>
          <w:szCs w:val="24"/>
          <w:lang w:val="fr-FR"/>
        </w:rPr>
      </w:pPr>
    </w:p>
    <w:p w:rsidR="001C56DA" w:rsidRPr="006829C3" w:rsidRDefault="001C56DA" w:rsidP="001C56DA">
      <w:pPr>
        <w:pStyle w:val="EMEAEnBodyText"/>
        <w:autoSpaceDE w:val="0"/>
        <w:autoSpaceDN w:val="0"/>
        <w:adjustRightInd w:val="0"/>
        <w:spacing w:before="0" w:after="0"/>
        <w:ind w:left="567"/>
        <w:rPr>
          <w:rFonts w:asciiTheme="minorHAnsi" w:hAnsiTheme="minorHAnsi"/>
          <w:sz w:val="24"/>
          <w:szCs w:val="24"/>
          <w:lang w:val="fr-FR"/>
        </w:rPr>
      </w:pPr>
      <w:r w:rsidRPr="006829C3">
        <w:rPr>
          <w:rFonts w:asciiTheme="minorHAnsi" w:hAnsiTheme="minorHAnsi"/>
          <w:sz w:val="24"/>
          <w:szCs w:val="24"/>
          <w:lang w:val="fr-FR"/>
        </w:rPr>
        <w:t xml:space="preserve">La prise d’une </w:t>
      </w:r>
      <w:r w:rsidRPr="006829C3">
        <w:rPr>
          <w:rFonts w:asciiTheme="minorHAnsi" w:hAnsiTheme="minorHAnsi"/>
          <w:b/>
          <w:sz w:val="24"/>
          <w:szCs w:val="24"/>
          <w:lang w:val="fr-FR"/>
        </w:rPr>
        <w:t>overdose</w:t>
      </w:r>
      <w:r w:rsidRPr="006829C3">
        <w:rPr>
          <w:rFonts w:asciiTheme="minorHAnsi" w:hAnsiTheme="minorHAnsi"/>
          <w:sz w:val="24"/>
          <w:szCs w:val="24"/>
          <w:lang w:val="fr-FR"/>
        </w:rPr>
        <w:t xml:space="preserve"> (plusieurs doses journalières en une seule fois) peut provoquer une insuffisance hépatique grave, avec une perte de conscience. Dans ce cas, il est impératif d’effectuer une perfusion intraveineuse avec de l’acétylcystéine dans un centre de soins intensifs. Voir section 4.9.</w:t>
      </w:r>
    </w:p>
    <w:p w:rsidR="001C56DA" w:rsidRPr="006829C3" w:rsidRDefault="001C56DA" w:rsidP="001C56DA">
      <w:pPr>
        <w:pStyle w:val="EMEAEnBodyText"/>
        <w:autoSpaceDE w:val="0"/>
        <w:autoSpaceDN w:val="0"/>
        <w:adjustRightInd w:val="0"/>
        <w:spacing w:before="0" w:after="0"/>
        <w:ind w:left="567"/>
        <w:rPr>
          <w:rFonts w:asciiTheme="minorHAnsi" w:hAnsiTheme="minorHAnsi"/>
          <w:sz w:val="24"/>
          <w:szCs w:val="24"/>
          <w:lang w:val="fr-FR"/>
        </w:rPr>
      </w:pPr>
    </w:p>
    <w:p w:rsidR="001C56DA" w:rsidRPr="006829C3" w:rsidRDefault="001C56DA" w:rsidP="001C56DA">
      <w:pPr>
        <w:pStyle w:val="EMEAEnBodyText"/>
        <w:autoSpaceDE w:val="0"/>
        <w:autoSpaceDN w:val="0"/>
        <w:adjustRightInd w:val="0"/>
        <w:spacing w:before="0" w:after="0"/>
        <w:ind w:left="567"/>
        <w:rPr>
          <w:rFonts w:asciiTheme="minorHAnsi" w:hAnsiTheme="minorHAnsi"/>
          <w:sz w:val="24"/>
          <w:szCs w:val="24"/>
          <w:lang w:val="fr-FR"/>
        </w:rPr>
      </w:pPr>
      <w:r w:rsidRPr="006829C3">
        <w:rPr>
          <w:rFonts w:asciiTheme="minorHAnsi" w:hAnsiTheme="minorHAnsi"/>
          <w:sz w:val="24"/>
          <w:szCs w:val="24"/>
          <w:lang w:val="fr-FR"/>
        </w:rPr>
        <w:t xml:space="preserve">Après un traitement à long terme (&gt;3 mois) des maux de tête réactifs peuvent se développer. Ces maux de tête causés par l’abus des analgésiques (MOH ou </w:t>
      </w:r>
      <w:proofErr w:type="spellStart"/>
      <w:r w:rsidRPr="006829C3">
        <w:rPr>
          <w:rFonts w:asciiTheme="minorHAnsi" w:hAnsiTheme="minorHAnsi"/>
          <w:sz w:val="24"/>
          <w:szCs w:val="24"/>
          <w:lang w:val="fr-FR"/>
        </w:rPr>
        <w:t>medicine-overuse</w:t>
      </w:r>
      <w:proofErr w:type="spellEnd"/>
      <w:r w:rsidRPr="006829C3">
        <w:rPr>
          <w:rFonts w:asciiTheme="minorHAnsi" w:hAnsiTheme="minorHAnsi"/>
          <w:sz w:val="24"/>
          <w:szCs w:val="24"/>
          <w:lang w:val="fr-FR"/>
        </w:rPr>
        <w:t xml:space="preserve"> </w:t>
      </w:r>
      <w:proofErr w:type="spellStart"/>
      <w:r w:rsidRPr="006829C3">
        <w:rPr>
          <w:rFonts w:asciiTheme="minorHAnsi" w:hAnsiTheme="minorHAnsi"/>
          <w:sz w:val="24"/>
          <w:szCs w:val="24"/>
          <w:lang w:val="fr-FR"/>
        </w:rPr>
        <w:t>headache</w:t>
      </w:r>
      <w:proofErr w:type="spellEnd"/>
      <w:r w:rsidRPr="006829C3">
        <w:rPr>
          <w:rFonts w:asciiTheme="minorHAnsi" w:hAnsiTheme="minorHAnsi"/>
          <w:sz w:val="24"/>
          <w:szCs w:val="24"/>
          <w:lang w:val="fr-FR"/>
        </w:rPr>
        <w:t xml:space="preserve"> – céphalées dues à l'usage excessif de médication) ne doivent pas être traités en augmentant la dose. Dans ces cas, l'utilisation d'analgésiques devra être arrêtée sur le conseil d’un médecin. L'arrêt brutal après un traitement prolongé à fortes doses peut conduire à des maux de tête, fatigue, douleurs musculaires, nervosité et symptômes réflexes. Ces symptômes de sevrage disparaissent en quelques jours. </w:t>
      </w:r>
    </w:p>
    <w:p w:rsidR="001C56DA" w:rsidRPr="006829C3" w:rsidRDefault="001C56DA" w:rsidP="001C56DA">
      <w:pPr>
        <w:pStyle w:val="EMEAEnBodyText"/>
        <w:autoSpaceDE w:val="0"/>
        <w:autoSpaceDN w:val="0"/>
        <w:adjustRightInd w:val="0"/>
        <w:spacing w:before="0" w:after="0"/>
        <w:ind w:left="567"/>
        <w:rPr>
          <w:rFonts w:asciiTheme="minorHAnsi" w:hAnsiTheme="minorHAnsi"/>
          <w:sz w:val="24"/>
          <w:szCs w:val="24"/>
          <w:lang w:val="fr-FR"/>
        </w:rPr>
      </w:pPr>
    </w:p>
    <w:p w:rsidR="00233748" w:rsidRPr="001C56DA" w:rsidRDefault="00233748" w:rsidP="00233748">
      <w:pPr>
        <w:pStyle w:val="EMEAEnBodyText"/>
        <w:autoSpaceDE w:val="0"/>
        <w:autoSpaceDN w:val="0"/>
        <w:adjustRightInd w:val="0"/>
        <w:spacing w:before="0" w:after="0"/>
        <w:ind w:left="567"/>
        <w:rPr>
          <w:rFonts w:asciiTheme="minorHAnsi" w:hAnsiTheme="minorHAnsi"/>
          <w:i/>
          <w:sz w:val="24"/>
          <w:szCs w:val="24"/>
          <w:lang w:val="fr-FR"/>
        </w:rPr>
      </w:pPr>
      <w:r w:rsidRPr="001C56DA">
        <w:rPr>
          <w:rFonts w:asciiTheme="minorHAnsi" w:hAnsiTheme="minorHAnsi"/>
          <w:b/>
          <w:i/>
          <w:sz w:val="24"/>
          <w:szCs w:val="24"/>
          <w:lang w:val="fr-FR"/>
        </w:rPr>
        <w:t xml:space="preserve">Mises en garde liée à la présence de </w:t>
      </w:r>
      <w:proofErr w:type="spellStart"/>
      <w:r w:rsidRPr="001C56DA">
        <w:rPr>
          <w:rFonts w:asciiTheme="minorHAnsi" w:hAnsiTheme="minorHAnsi"/>
          <w:b/>
          <w:i/>
          <w:sz w:val="24"/>
          <w:szCs w:val="24"/>
          <w:lang w:val="fr-FR"/>
        </w:rPr>
        <w:t>phényléphrine</w:t>
      </w:r>
      <w:proofErr w:type="spellEnd"/>
    </w:p>
    <w:p w:rsidR="00233748" w:rsidRPr="006829C3" w:rsidRDefault="00233748" w:rsidP="00233748">
      <w:pPr>
        <w:pStyle w:val="EMEAEnBodyText"/>
        <w:autoSpaceDE w:val="0"/>
        <w:autoSpaceDN w:val="0"/>
        <w:adjustRightInd w:val="0"/>
        <w:spacing w:before="0" w:after="0"/>
        <w:ind w:left="567"/>
        <w:rPr>
          <w:rFonts w:asciiTheme="minorHAnsi" w:hAnsiTheme="minorHAnsi"/>
          <w:sz w:val="24"/>
          <w:szCs w:val="24"/>
          <w:lang w:val="fr-FR"/>
        </w:rPr>
      </w:pPr>
    </w:p>
    <w:p w:rsidR="00233748" w:rsidRPr="006829C3" w:rsidRDefault="00233748" w:rsidP="00F75208">
      <w:pPr>
        <w:pStyle w:val="EMEAEnBodyText"/>
        <w:numPr>
          <w:ilvl w:val="0"/>
          <w:numId w:val="8"/>
        </w:numPr>
        <w:autoSpaceDE w:val="0"/>
        <w:autoSpaceDN w:val="0"/>
        <w:adjustRightInd w:val="0"/>
        <w:spacing w:before="0" w:after="0"/>
        <w:rPr>
          <w:rFonts w:asciiTheme="minorHAnsi" w:hAnsiTheme="minorHAnsi"/>
          <w:sz w:val="24"/>
          <w:szCs w:val="24"/>
          <w:lang w:val="fr-FR"/>
        </w:rPr>
      </w:pPr>
      <w:r w:rsidRPr="006829C3">
        <w:rPr>
          <w:rFonts w:asciiTheme="minorHAnsi" w:hAnsiTheme="minorHAnsi"/>
          <w:sz w:val="24"/>
          <w:szCs w:val="24"/>
          <w:lang w:val="fr-FR"/>
        </w:rPr>
        <w:t>Une prudence particulière s’impose en cas d’administration à des patients atteints d’affections cardio-vasculaire, d’</w:t>
      </w:r>
      <w:r w:rsidR="001C56DA" w:rsidRPr="006829C3">
        <w:rPr>
          <w:rFonts w:asciiTheme="minorHAnsi" w:hAnsiTheme="minorHAnsi"/>
          <w:sz w:val="24"/>
          <w:szCs w:val="24"/>
          <w:lang w:val="fr-FR"/>
        </w:rPr>
        <w:t>hyperthyroïdie</w:t>
      </w:r>
      <w:r w:rsidRPr="006829C3">
        <w:rPr>
          <w:rFonts w:asciiTheme="minorHAnsi" w:hAnsiTheme="minorHAnsi"/>
          <w:sz w:val="24"/>
          <w:szCs w:val="24"/>
          <w:lang w:val="fr-FR"/>
        </w:rPr>
        <w:t xml:space="preserve"> ou de diabète, en cas d’administration simultanée d’anesthésiques qui sensibilisent le myocarde aux sympathicomimétiques (p.ex. trichloroéthylène, cyclopropane, en cas d’administration simultanée d’autres </w:t>
      </w:r>
      <w:r w:rsidR="001C56DA" w:rsidRPr="006829C3">
        <w:rPr>
          <w:rFonts w:asciiTheme="minorHAnsi" w:hAnsiTheme="minorHAnsi"/>
          <w:sz w:val="24"/>
          <w:szCs w:val="24"/>
          <w:lang w:val="fr-FR"/>
        </w:rPr>
        <w:t>sympathicomimétiques</w:t>
      </w:r>
      <w:r w:rsidRPr="006829C3">
        <w:rPr>
          <w:rFonts w:asciiTheme="minorHAnsi" w:hAnsiTheme="minorHAnsi"/>
          <w:sz w:val="24"/>
          <w:szCs w:val="24"/>
          <w:lang w:val="fr-FR"/>
        </w:rPr>
        <w:t xml:space="preserve">, en cas d’asthme et en cas de risque accru d’artériosclérose cérébrale. </w:t>
      </w:r>
    </w:p>
    <w:p w:rsidR="00F75208" w:rsidRPr="006829C3" w:rsidRDefault="000D3F2E" w:rsidP="00F75208">
      <w:pPr>
        <w:pStyle w:val="EMEAEnBodyText"/>
        <w:numPr>
          <w:ilvl w:val="0"/>
          <w:numId w:val="8"/>
        </w:numPr>
        <w:autoSpaceDE w:val="0"/>
        <w:autoSpaceDN w:val="0"/>
        <w:adjustRightInd w:val="0"/>
        <w:spacing w:before="0" w:after="0"/>
        <w:rPr>
          <w:rFonts w:asciiTheme="minorHAnsi" w:hAnsiTheme="minorHAnsi"/>
          <w:sz w:val="24"/>
          <w:szCs w:val="24"/>
          <w:lang w:val="fr-FR"/>
        </w:rPr>
      </w:pPr>
      <w:r>
        <w:rPr>
          <w:rFonts w:asciiTheme="minorHAnsi" w:hAnsiTheme="minorHAnsi"/>
          <w:sz w:val="24"/>
          <w:szCs w:val="24"/>
          <w:lang w:val="fr-FR"/>
        </w:rPr>
        <w:t>L</w:t>
      </w:r>
      <w:r w:rsidR="00F75208" w:rsidRPr="006829C3">
        <w:rPr>
          <w:rFonts w:asciiTheme="minorHAnsi" w:hAnsiTheme="minorHAnsi"/>
          <w:sz w:val="24"/>
          <w:szCs w:val="24"/>
          <w:lang w:val="fr-FR"/>
        </w:rPr>
        <w:t xml:space="preserve">es inhibiteurs des </w:t>
      </w:r>
      <w:proofErr w:type="gramStart"/>
      <w:r w:rsidR="001C56DA" w:rsidRPr="006829C3">
        <w:rPr>
          <w:rFonts w:asciiTheme="minorHAnsi" w:hAnsiTheme="minorHAnsi"/>
          <w:sz w:val="24"/>
          <w:szCs w:val="24"/>
          <w:lang w:val="fr-FR"/>
        </w:rPr>
        <w:t>monoamine-oxydase</w:t>
      </w:r>
      <w:proofErr w:type="gramEnd"/>
      <w:r w:rsidR="00F75208" w:rsidRPr="006829C3">
        <w:rPr>
          <w:rFonts w:asciiTheme="minorHAnsi" w:hAnsiTheme="minorHAnsi"/>
          <w:sz w:val="24"/>
          <w:szCs w:val="24"/>
          <w:lang w:val="fr-FR"/>
        </w:rPr>
        <w:t xml:space="preserve"> (IMAO)</w:t>
      </w:r>
      <w:r>
        <w:rPr>
          <w:rFonts w:asciiTheme="minorHAnsi" w:hAnsiTheme="minorHAnsi"/>
          <w:sz w:val="24"/>
          <w:szCs w:val="24"/>
          <w:lang w:val="fr-FR"/>
        </w:rPr>
        <w:t xml:space="preserve"> provoquent également une </w:t>
      </w:r>
      <w:r w:rsidRPr="006829C3">
        <w:rPr>
          <w:rFonts w:asciiTheme="minorHAnsi" w:hAnsiTheme="minorHAnsi"/>
          <w:sz w:val="24"/>
          <w:szCs w:val="24"/>
          <w:lang w:val="fr-FR"/>
        </w:rPr>
        <w:t xml:space="preserve">inhibition de la dégradation de la </w:t>
      </w:r>
      <w:proofErr w:type="spellStart"/>
      <w:r w:rsidRPr="006829C3">
        <w:rPr>
          <w:rFonts w:asciiTheme="minorHAnsi" w:hAnsiTheme="minorHAnsi"/>
          <w:sz w:val="24"/>
          <w:szCs w:val="24"/>
          <w:lang w:val="fr-FR"/>
        </w:rPr>
        <w:t>phényléphrine</w:t>
      </w:r>
      <w:proofErr w:type="spellEnd"/>
      <w:r>
        <w:rPr>
          <w:rFonts w:asciiTheme="minorHAnsi" w:hAnsiTheme="minorHAnsi"/>
          <w:sz w:val="24"/>
          <w:szCs w:val="24"/>
          <w:lang w:val="fr-FR"/>
        </w:rPr>
        <w:t xml:space="preserve"> ce qui peut</w:t>
      </w:r>
      <w:r w:rsidR="00F75208" w:rsidRPr="006829C3">
        <w:rPr>
          <w:rFonts w:asciiTheme="minorHAnsi" w:hAnsiTheme="minorHAnsi"/>
          <w:sz w:val="24"/>
          <w:szCs w:val="24"/>
          <w:lang w:val="fr-FR"/>
        </w:rPr>
        <w:t xml:space="preserve"> entraîner</w:t>
      </w:r>
      <w:r>
        <w:rPr>
          <w:rFonts w:asciiTheme="minorHAnsi" w:hAnsiTheme="minorHAnsi"/>
          <w:sz w:val="24"/>
          <w:szCs w:val="24"/>
          <w:lang w:val="fr-FR"/>
        </w:rPr>
        <w:t xml:space="preserve"> </w:t>
      </w:r>
      <w:r w:rsidR="00F75208" w:rsidRPr="006829C3">
        <w:rPr>
          <w:rFonts w:asciiTheme="minorHAnsi" w:hAnsiTheme="minorHAnsi"/>
          <w:sz w:val="24"/>
          <w:szCs w:val="24"/>
          <w:lang w:val="fr-FR"/>
        </w:rPr>
        <w:t xml:space="preserve">une forte augmentation de l’activité adrénergique. Le </w:t>
      </w:r>
      <w:proofErr w:type="spellStart"/>
      <w:r w:rsidR="00F75208" w:rsidRPr="006829C3">
        <w:rPr>
          <w:rFonts w:asciiTheme="minorHAnsi" w:hAnsiTheme="minorHAnsi"/>
          <w:sz w:val="24"/>
          <w:szCs w:val="24"/>
          <w:lang w:val="fr-FR"/>
        </w:rPr>
        <w:t>Rhino</w:t>
      </w:r>
      <w:r w:rsidR="001C56DA">
        <w:rPr>
          <w:rFonts w:asciiTheme="minorHAnsi" w:hAnsiTheme="minorHAnsi"/>
          <w:sz w:val="24"/>
          <w:szCs w:val="24"/>
          <w:lang w:val="fr-FR"/>
        </w:rPr>
        <w:t>P</w:t>
      </w:r>
      <w:r w:rsidR="00F75208" w:rsidRPr="006829C3">
        <w:rPr>
          <w:rFonts w:asciiTheme="minorHAnsi" w:hAnsiTheme="minorHAnsi"/>
          <w:sz w:val="24"/>
          <w:szCs w:val="24"/>
          <w:lang w:val="fr-FR"/>
        </w:rPr>
        <w:t>arol</w:t>
      </w:r>
      <w:proofErr w:type="spellEnd"/>
      <w:r w:rsidR="00F75208" w:rsidRPr="006829C3">
        <w:rPr>
          <w:rFonts w:asciiTheme="minorHAnsi" w:hAnsiTheme="minorHAnsi"/>
          <w:sz w:val="24"/>
          <w:szCs w:val="24"/>
          <w:lang w:val="fr-FR"/>
        </w:rPr>
        <w:t xml:space="preserve"> est contre-indique </w:t>
      </w:r>
      <w:r w:rsidR="00641093">
        <w:rPr>
          <w:rFonts w:asciiTheme="minorHAnsi" w:hAnsiTheme="minorHAnsi"/>
          <w:sz w:val="24"/>
          <w:szCs w:val="24"/>
          <w:lang w:val="fr-FR"/>
        </w:rPr>
        <w:t>c</w:t>
      </w:r>
      <w:r w:rsidRPr="006829C3">
        <w:rPr>
          <w:rFonts w:asciiTheme="minorHAnsi" w:hAnsiTheme="minorHAnsi"/>
          <w:sz w:val="24"/>
          <w:szCs w:val="24"/>
          <w:lang w:val="fr-FR"/>
        </w:rPr>
        <w:t xml:space="preserve">hez </w:t>
      </w:r>
      <w:r w:rsidRPr="006829C3">
        <w:rPr>
          <w:rFonts w:asciiTheme="minorHAnsi" w:hAnsiTheme="minorHAnsi"/>
          <w:sz w:val="24"/>
          <w:szCs w:val="24"/>
          <w:lang w:val="fr-FR"/>
        </w:rPr>
        <w:lastRenderedPageBreak/>
        <w:t>des patients traités par</w:t>
      </w:r>
      <w:r>
        <w:rPr>
          <w:rFonts w:asciiTheme="minorHAnsi" w:hAnsiTheme="minorHAnsi"/>
          <w:sz w:val="24"/>
          <w:szCs w:val="24"/>
          <w:lang w:val="fr-FR"/>
        </w:rPr>
        <w:t xml:space="preserve"> IMAO et pendant les 2 </w:t>
      </w:r>
      <w:r w:rsidR="00641093">
        <w:rPr>
          <w:rFonts w:asciiTheme="minorHAnsi" w:hAnsiTheme="minorHAnsi"/>
          <w:sz w:val="24"/>
          <w:szCs w:val="24"/>
          <w:lang w:val="fr-FR"/>
        </w:rPr>
        <w:t>semaines</w:t>
      </w:r>
      <w:r>
        <w:rPr>
          <w:rFonts w:asciiTheme="minorHAnsi" w:hAnsiTheme="minorHAnsi"/>
          <w:sz w:val="24"/>
          <w:szCs w:val="24"/>
          <w:lang w:val="fr-FR"/>
        </w:rPr>
        <w:t xml:space="preserve"> </w:t>
      </w:r>
      <w:r w:rsidR="00641093">
        <w:rPr>
          <w:rFonts w:asciiTheme="minorHAnsi" w:hAnsiTheme="minorHAnsi"/>
          <w:sz w:val="24"/>
          <w:szCs w:val="24"/>
          <w:lang w:val="fr-FR"/>
        </w:rPr>
        <w:t>suivant l’arrêt du</w:t>
      </w:r>
      <w:r>
        <w:rPr>
          <w:rFonts w:asciiTheme="minorHAnsi" w:hAnsiTheme="minorHAnsi"/>
          <w:sz w:val="24"/>
          <w:szCs w:val="24"/>
          <w:lang w:val="fr-FR"/>
        </w:rPr>
        <w:t xml:space="preserve"> </w:t>
      </w:r>
      <w:r w:rsidR="00641093">
        <w:rPr>
          <w:rFonts w:asciiTheme="minorHAnsi" w:hAnsiTheme="minorHAnsi"/>
          <w:sz w:val="24"/>
          <w:szCs w:val="24"/>
          <w:lang w:val="fr-FR"/>
        </w:rPr>
        <w:t>traitement.</w:t>
      </w:r>
    </w:p>
    <w:p w:rsidR="00233748" w:rsidRPr="006829C3" w:rsidRDefault="00233748" w:rsidP="00233748">
      <w:pPr>
        <w:pStyle w:val="EMEAEnBodyText"/>
        <w:autoSpaceDE w:val="0"/>
        <w:autoSpaceDN w:val="0"/>
        <w:adjustRightInd w:val="0"/>
        <w:spacing w:before="0" w:after="0"/>
        <w:ind w:left="567"/>
        <w:rPr>
          <w:rFonts w:asciiTheme="minorHAnsi" w:hAnsiTheme="minorHAnsi"/>
          <w:sz w:val="24"/>
          <w:szCs w:val="24"/>
          <w:lang w:val="fr-FR"/>
        </w:rPr>
      </w:pPr>
    </w:p>
    <w:p w:rsidR="0035028D" w:rsidRPr="0035028D" w:rsidRDefault="0035028D" w:rsidP="0035028D">
      <w:pPr>
        <w:pStyle w:val="EMEAEnBodyText"/>
        <w:autoSpaceDE w:val="0"/>
        <w:autoSpaceDN w:val="0"/>
        <w:adjustRightInd w:val="0"/>
        <w:spacing w:before="0" w:after="0"/>
        <w:ind w:left="567"/>
        <w:rPr>
          <w:rFonts w:asciiTheme="minorHAnsi" w:hAnsiTheme="minorHAnsi"/>
          <w:b/>
          <w:i/>
          <w:sz w:val="24"/>
          <w:szCs w:val="24"/>
          <w:lang w:val="fr-FR"/>
        </w:rPr>
      </w:pPr>
      <w:r w:rsidRPr="0035028D">
        <w:rPr>
          <w:rFonts w:asciiTheme="minorHAnsi" w:hAnsiTheme="minorHAnsi"/>
          <w:b/>
          <w:i/>
          <w:sz w:val="24"/>
          <w:szCs w:val="24"/>
          <w:lang w:val="fr-FR"/>
        </w:rPr>
        <w:t xml:space="preserve">Mises en garde liée à la présence de chlorphénamine </w:t>
      </w:r>
    </w:p>
    <w:p w:rsidR="0035028D" w:rsidRPr="006829C3" w:rsidRDefault="0035028D" w:rsidP="0035028D">
      <w:pPr>
        <w:pStyle w:val="EMEAEnBodyText"/>
        <w:autoSpaceDE w:val="0"/>
        <w:autoSpaceDN w:val="0"/>
        <w:adjustRightInd w:val="0"/>
        <w:spacing w:before="0" w:after="0"/>
        <w:ind w:left="567"/>
        <w:rPr>
          <w:rFonts w:asciiTheme="minorHAnsi" w:hAnsiTheme="minorHAnsi"/>
          <w:sz w:val="24"/>
          <w:szCs w:val="24"/>
          <w:lang w:val="fr-FR"/>
        </w:rPr>
      </w:pPr>
    </w:p>
    <w:p w:rsidR="0035028D" w:rsidRDefault="0035028D" w:rsidP="0035028D">
      <w:pPr>
        <w:pStyle w:val="EMEAEnBodyText"/>
        <w:autoSpaceDE w:val="0"/>
        <w:autoSpaceDN w:val="0"/>
        <w:adjustRightInd w:val="0"/>
        <w:spacing w:before="0" w:after="0"/>
        <w:ind w:left="567"/>
        <w:rPr>
          <w:rFonts w:asciiTheme="minorHAnsi" w:hAnsiTheme="minorHAnsi"/>
          <w:sz w:val="24"/>
          <w:szCs w:val="24"/>
          <w:lang w:val="fr-FR"/>
        </w:rPr>
      </w:pPr>
      <w:r w:rsidRPr="006829C3">
        <w:rPr>
          <w:rFonts w:asciiTheme="minorHAnsi" w:hAnsiTheme="minorHAnsi"/>
          <w:sz w:val="24"/>
          <w:szCs w:val="24"/>
          <w:lang w:val="fr-FR"/>
        </w:rPr>
        <w:t xml:space="preserve">Une prudence s’impose en cas de prise simultanée d’autres médicaments à effet sédatif, tels que des neuroleptiques, des anxiolytiques et des somnifères, en cas d’asthme, d’obstruction du col vésicale, d’insuffisance hépatique, d’obstruction </w:t>
      </w:r>
      <w:proofErr w:type="spellStart"/>
      <w:r w:rsidRPr="006829C3">
        <w:rPr>
          <w:rFonts w:asciiTheme="minorHAnsi" w:hAnsiTheme="minorHAnsi"/>
          <w:sz w:val="24"/>
          <w:szCs w:val="24"/>
          <w:lang w:val="fr-FR"/>
        </w:rPr>
        <w:t>pyloroduodénal</w:t>
      </w:r>
      <w:proofErr w:type="spellEnd"/>
      <w:r w:rsidRPr="006829C3">
        <w:rPr>
          <w:rFonts w:asciiTheme="minorHAnsi" w:hAnsiTheme="minorHAnsi"/>
          <w:sz w:val="24"/>
          <w:szCs w:val="24"/>
          <w:lang w:val="fr-FR"/>
        </w:rPr>
        <w:t xml:space="preserve"> et d’ulcère peptique avec sténose.</w:t>
      </w:r>
    </w:p>
    <w:p w:rsidR="0035028D" w:rsidRDefault="0035028D" w:rsidP="0035028D">
      <w:pPr>
        <w:pStyle w:val="EMEAEnBodyText"/>
        <w:autoSpaceDE w:val="0"/>
        <w:autoSpaceDN w:val="0"/>
        <w:adjustRightInd w:val="0"/>
        <w:spacing w:before="0" w:after="0"/>
        <w:ind w:left="567"/>
        <w:rPr>
          <w:rFonts w:asciiTheme="minorHAnsi" w:hAnsiTheme="minorHAnsi"/>
          <w:sz w:val="24"/>
          <w:szCs w:val="24"/>
          <w:lang w:val="fr-FR"/>
        </w:rPr>
      </w:pPr>
    </w:p>
    <w:p w:rsidR="00881C9C" w:rsidRPr="0035028D" w:rsidRDefault="00881C9C" w:rsidP="00881C9C">
      <w:pPr>
        <w:pStyle w:val="EMEAEnBodyText"/>
        <w:autoSpaceDE w:val="0"/>
        <w:autoSpaceDN w:val="0"/>
        <w:adjustRightInd w:val="0"/>
        <w:spacing w:before="0" w:after="0"/>
        <w:ind w:left="567"/>
        <w:rPr>
          <w:rFonts w:asciiTheme="minorHAnsi" w:hAnsiTheme="minorHAnsi"/>
          <w:b/>
          <w:i/>
          <w:sz w:val="24"/>
          <w:szCs w:val="24"/>
          <w:lang w:val="fr-FR"/>
        </w:rPr>
      </w:pPr>
      <w:r w:rsidRPr="0035028D">
        <w:rPr>
          <w:rFonts w:asciiTheme="minorHAnsi" w:hAnsiTheme="minorHAnsi"/>
          <w:b/>
          <w:i/>
          <w:sz w:val="24"/>
          <w:szCs w:val="24"/>
          <w:lang w:val="fr-FR"/>
        </w:rPr>
        <w:t xml:space="preserve">Insuffisance rénale et hépatique </w:t>
      </w:r>
    </w:p>
    <w:p w:rsidR="00881C9C" w:rsidRPr="006829C3" w:rsidRDefault="00881C9C" w:rsidP="001957AC">
      <w:pPr>
        <w:pStyle w:val="EMEAEnBodyText"/>
        <w:numPr>
          <w:ilvl w:val="0"/>
          <w:numId w:val="7"/>
        </w:numPr>
        <w:autoSpaceDE w:val="0"/>
        <w:autoSpaceDN w:val="0"/>
        <w:adjustRightInd w:val="0"/>
        <w:spacing w:before="0" w:after="0"/>
        <w:ind w:left="927"/>
        <w:rPr>
          <w:rFonts w:asciiTheme="minorHAnsi" w:hAnsiTheme="minorHAnsi"/>
          <w:sz w:val="24"/>
          <w:szCs w:val="24"/>
          <w:lang w:val="fr-FR"/>
        </w:rPr>
      </w:pPr>
      <w:r w:rsidRPr="006829C3">
        <w:rPr>
          <w:rFonts w:asciiTheme="minorHAnsi" w:hAnsiTheme="minorHAnsi"/>
          <w:sz w:val="24"/>
          <w:szCs w:val="24"/>
          <w:lang w:val="fr-FR"/>
        </w:rPr>
        <w:t>L'administration de paracétamol à des patients atteints d'insuffisance rénale modérée à sévère peut aboutir à une accumulation de dérivés conjugués.</w:t>
      </w:r>
    </w:p>
    <w:p w:rsidR="00881C9C" w:rsidRPr="006829C3" w:rsidRDefault="00881C9C" w:rsidP="001957AC">
      <w:pPr>
        <w:pStyle w:val="EMEAEnBodyText"/>
        <w:numPr>
          <w:ilvl w:val="0"/>
          <w:numId w:val="6"/>
        </w:numPr>
        <w:autoSpaceDE w:val="0"/>
        <w:autoSpaceDN w:val="0"/>
        <w:adjustRightInd w:val="0"/>
        <w:spacing w:before="0" w:after="0"/>
        <w:ind w:left="927"/>
        <w:rPr>
          <w:rFonts w:asciiTheme="minorHAnsi" w:hAnsiTheme="minorHAnsi"/>
          <w:sz w:val="24"/>
          <w:szCs w:val="24"/>
          <w:lang w:val="fr-FR"/>
        </w:rPr>
      </w:pPr>
      <w:r w:rsidRPr="006829C3">
        <w:rPr>
          <w:rFonts w:asciiTheme="minorHAnsi" w:hAnsiTheme="minorHAnsi"/>
          <w:sz w:val="24"/>
          <w:szCs w:val="24"/>
          <w:lang w:val="fr-FR"/>
        </w:rPr>
        <w:t>Le risque de toxicité hépatique est considérablement augmenté dans l’éthylisme chronique. Une réduction de la posologie s’impose donc chez ces patients.</w:t>
      </w:r>
    </w:p>
    <w:p w:rsidR="00881C9C" w:rsidRPr="006829C3" w:rsidRDefault="00881C9C" w:rsidP="001957AC">
      <w:pPr>
        <w:pStyle w:val="EMEAEnBodyText"/>
        <w:numPr>
          <w:ilvl w:val="0"/>
          <w:numId w:val="6"/>
        </w:numPr>
        <w:autoSpaceDE w:val="0"/>
        <w:autoSpaceDN w:val="0"/>
        <w:adjustRightInd w:val="0"/>
        <w:spacing w:before="0" w:after="0"/>
        <w:ind w:left="927"/>
        <w:rPr>
          <w:rFonts w:asciiTheme="minorHAnsi" w:hAnsiTheme="minorHAnsi"/>
          <w:sz w:val="24"/>
          <w:szCs w:val="24"/>
          <w:lang w:val="fr-FR"/>
        </w:rPr>
      </w:pPr>
      <w:r w:rsidRPr="006829C3">
        <w:rPr>
          <w:rFonts w:asciiTheme="minorHAnsi" w:hAnsiTheme="minorHAnsi"/>
          <w:sz w:val="24"/>
          <w:szCs w:val="24"/>
          <w:lang w:val="fr-FR"/>
        </w:rPr>
        <w:t>Chez des sujets âgés, des tests hépatiques et rénaux doivent être effectués afin de déceler précocement une éventuelle insuffisance hépatique ou rénale.</w:t>
      </w:r>
    </w:p>
    <w:p w:rsidR="00881C9C" w:rsidRPr="006829C3" w:rsidRDefault="00881C9C" w:rsidP="001957AC">
      <w:pPr>
        <w:pStyle w:val="EMEAEnBodyText"/>
        <w:numPr>
          <w:ilvl w:val="0"/>
          <w:numId w:val="6"/>
        </w:numPr>
        <w:autoSpaceDE w:val="0"/>
        <w:autoSpaceDN w:val="0"/>
        <w:adjustRightInd w:val="0"/>
        <w:spacing w:before="0" w:after="0"/>
        <w:ind w:left="927"/>
        <w:rPr>
          <w:rFonts w:asciiTheme="minorHAnsi" w:hAnsiTheme="minorHAnsi"/>
          <w:sz w:val="24"/>
          <w:szCs w:val="24"/>
          <w:lang w:val="fr-FR"/>
        </w:rPr>
      </w:pPr>
      <w:r w:rsidRPr="006829C3">
        <w:rPr>
          <w:rFonts w:asciiTheme="minorHAnsi" w:hAnsiTheme="minorHAnsi"/>
          <w:sz w:val="24"/>
          <w:szCs w:val="24"/>
          <w:lang w:val="fr-FR"/>
        </w:rPr>
        <w:t>La prudence est recommandée en cas d’insuffisance hépatique avérée. Il en est de même chez les patients consommant des substances inductrices des enzymes hépatiques (alcool, barbituriques, antiépileptiques). Dans ces cas, l’accumulation des métabolites toxiques du paracétamol peut aggraver ou entraîner des lésions hépatiques. Le risque de toxicité hépatique est considérablement augmenté dans l’éthylisme chronique. Une réduction de la posologie s’impose donc chez ces patients.</w:t>
      </w:r>
    </w:p>
    <w:p w:rsidR="00881C9C" w:rsidRPr="006829C3" w:rsidRDefault="00881C9C" w:rsidP="001957AC">
      <w:pPr>
        <w:pStyle w:val="EMEAEnBodyText"/>
        <w:numPr>
          <w:ilvl w:val="0"/>
          <w:numId w:val="6"/>
        </w:numPr>
        <w:autoSpaceDE w:val="0"/>
        <w:autoSpaceDN w:val="0"/>
        <w:adjustRightInd w:val="0"/>
        <w:spacing w:before="0" w:after="0"/>
        <w:ind w:left="927"/>
        <w:rPr>
          <w:rFonts w:asciiTheme="minorHAnsi" w:hAnsiTheme="minorHAnsi"/>
          <w:sz w:val="24"/>
          <w:szCs w:val="24"/>
          <w:lang w:val="fr-FR"/>
        </w:rPr>
      </w:pPr>
      <w:r w:rsidRPr="006829C3">
        <w:rPr>
          <w:rFonts w:asciiTheme="minorHAnsi" w:hAnsiTheme="minorHAnsi"/>
          <w:sz w:val="24"/>
          <w:szCs w:val="24"/>
          <w:lang w:val="fr-FR"/>
        </w:rPr>
        <w:t xml:space="preserve">Une prudence particulière et un respect de la posologie recommandée sont indispensables chez les enfants épileptiques traités par barbituriques, phénytoïne, carbamazépine ou </w:t>
      </w:r>
      <w:proofErr w:type="spellStart"/>
      <w:r w:rsidRPr="006829C3">
        <w:rPr>
          <w:rFonts w:asciiTheme="minorHAnsi" w:hAnsiTheme="minorHAnsi"/>
          <w:sz w:val="24"/>
          <w:szCs w:val="24"/>
          <w:lang w:val="fr-FR"/>
        </w:rPr>
        <w:t>lamotrigine</w:t>
      </w:r>
      <w:proofErr w:type="spellEnd"/>
      <w:r w:rsidRPr="006829C3">
        <w:rPr>
          <w:rFonts w:asciiTheme="minorHAnsi" w:hAnsiTheme="minorHAnsi"/>
          <w:sz w:val="24"/>
          <w:szCs w:val="24"/>
          <w:lang w:val="fr-FR"/>
        </w:rPr>
        <w:t>.</w:t>
      </w:r>
    </w:p>
    <w:p w:rsidR="00E6522D" w:rsidRPr="006829C3" w:rsidRDefault="00E6522D" w:rsidP="001957AC">
      <w:pPr>
        <w:pStyle w:val="EMEAEnBodyText"/>
        <w:autoSpaceDE w:val="0"/>
        <w:autoSpaceDN w:val="0"/>
        <w:adjustRightInd w:val="0"/>
        <w:spacing w:before="0" w:after="0"/>
        <w:ind w:left="207"/>
        <w:rPr>
          <w:rFonts w:asciiTheme="minorHAnsi" w:hAnsiTheme="minorHAnsi"/>
          <w:sz w:val="24"/>
          <w:szCs w:val="24"/>
          <w:lang w:val="fr-FR"/>
        </w:rPr>
      </w:pPr>
    </w:p>
    <w:p w:rsidR="00282B8D" w:rsidRPr="006829C3" w:rsidRDefault="00282B8D" w:rsidP="00282B8D">
      <w:pPr>
        <w:suppressAutoHyphens/>
        <w:ind w:left="567" w:hanging="567"/>
        <w:rPr>
          <w:rFonts w:asciiTheme="minorHAnsi" w:hAnsiTheme="minorHAnsi"/>
          <w:b/>
          <w:sz w:val="24"/>
          <w:szCs w:val="24"/>
        </w:rPr>
      </w:pPr>
      <w:r w:rsidRPr="006829C3">
        <w:rPr>
          <w:rFonts w:asciiTheme="minorHAnsi" w:hAnsiTheme="minorHAnsi"/>
          <w:b/>
          <w:sz w:val="24"/>
          <w:szCs w:val="24"/>
        </w:rPr>
        <w:t>4.5</w:t>
      </w:r>
      <w:r w:rsidRPr="006829C3">
        <w:rPr>
          <w:rFonts w:asciiTheme="minorHAnsi" w:hAnsiTheme="minorHAnsi"/>
          <w:b/>
          <w:sz w:val="24"/>
          <w:szCs w:val="24"/>
        </w:rPr>
        <w:tab/>
        <w:t>Interactions avec d’autres médicaments et autres formes d’interactions</w:t>
      </w:r>
    </w:p>
    <w:p w:rsidR="00282B8D" w:rsidRPr="006829C3" w:rsidRDefault="00282B8D" w:rsidP="006829C3">
      <w:pPr>
        <w:pStyle w:val="EMEAEnBodyText"/>
        <w:autoSpaceDE w:val="0"/>
        <w:autoSpaceDN w:val="0"/>
        <w:adjustRightInd w:val="0"/>
        <w:spacing w:before="0" w:after="0"/>
        <w:ind w:left="993" w:hanging="426"/>
        <w:rPr>
          <w:rFonts w:asciiTheme="minorHAnsi" w:hAnsiTheme="minorHAnsi"/>
          <w:sz w:val="24"/>
          <w:szCs w:val="24"/>
          <w:lang w:val="fr-FR"/>
        </w:rPr>
      </w:pPr>
    </w:p>
    <w:p w:rsidR="006829C3" w:rsidRPr="00673459" w:rsidRDefault="00D4578E" w:rsidP="006829C3">
      <w:pPr>
        <w:pStyle w:val="EMEAEnBodyText"/>
        <w:numPr>
          <w:ilvl w:val="0"/>
          <w:numId w:val="9"/>
        </w:numPr>
        <w:autoSpaceDE w:val="0"/>
        <w:autoSpaceDN w:val="0"/>
        <w:adjustRightInd w:val="0"/>
        <w:spacing w:before="0" w:after="0"/>
        <w:ind w:left="993" w:hanging="426"/>
        <w:rPr>
          <w:rFonts w:asciiTheme="minorHAnsi" w:hAnsiTheme="minorHAnsi"/>
          <w:sz w:val="24"/>
          <w:szCs w:val="24"/>
          <w:lang w:val="fr-BE"/>
        </w:rPr>
      </w:pPr>
      <w:r w:rsidRPr="00673459">
        <w:rPr>
          <w:rFonts w:asciiTheme="minorHAnsi" w:hAnsiTheme="minorHAnsi"/>
          <w:sz w:val="24"/>
          <w:szCs w:val="24"/>
          <w:lang w:val="fr-BE"/>
        </w:rPr>
        <w:t>Le risque d'hépatotoxicité associé au paracétamol peut être accru en cas d'alcoolisme chronique et chez les patients prenant des médicaments hépatotoxiques.</w:t>
      </w:r>
    </w:p>
    <w:p w:rsidR="006829C3" w:rsidRPr="00673459" w:rsidRDefault="00D4578E" w:rsidP="006829C3">
      <w:pPr>
        <w:pStyle w:val="EMEAEnBodyText"/>
        <w:numPr>
          <w:ilvl w:val="0"/>
          <w:numId w:val="9"/>
        </w:numPr>
        <w:autoSpaceDE w:val="0"/>
        <w:autoSpaceDN w:val="0"/>
        <w:adjustRightInd w:val="0"/>
        <w:spacing w:before="0" w:after="0"/>
        <w:ind w:left="993" w:hanging="426"/>
        <w:rPr>
          <w:rFonts w:asciiTheme="minorHAnsi" w:hAnsiTheme="minorHAnsi"/>
          <w:sz w:val="24"/>
          <w:szCs w:val="24"/>
          <w:lang w:val="fr-BE"/>
        </w:rPr>
      </w:pPr>
      <w:r w:rsidRPr="00673459">
        <w:rPr>
          <w:rFonts w:asciiTheme="minorHAnsi" w:hAnsiTheme="minorHAnsi"/>
          <w:sz w:val="24"/>
          <w:szCs w:val="24"/>
          <w:lang w:val="fr-BE"/>
        </w:rPr>
        <w:t>Potentialisation des dépresseurs du système nerveux central: hypnotiques, anesthésiques, sédatifs, alcool</w:t>
      </w:r>
    </w:p>
    <w:p w:rsidR="006829C3" w:rsidRPr="00673459" w:rsidRDefault="00D4578E" w:rsidP="006829C3">
      <w:pPr>
        <w:pStyle w:val="EMEAEnBodyText"/>
        <w:numPr>
          <w:ilvl w:val="0"/>
          <w:numId w:val="9"/>
        </w:numPr>
        <w:autoSpaceDE w:val="0"/>
        <w:autoSpaceDN w:val="0"/>
        <w:adjustRightInd w:val="0"/>
        <w:spacing w:before="0" w:after="0"/>
        <w:ind w:left="993" w:hanging="426"/>
        <w:rPr>
          <w:rFonts w:asciiTheme="minorHAnsi" w:hAnsiTheme="minorHAnsi"/>
          <w:sz w:val="24"/>
          <w:szCs w:val="24"/>
          <w:lang w:val="fr-BE"/>
        </w:rPr>
      </w:pPr>
      <w:r w:rsidRPr="00673459">
        <w:rPr>
          <w:rFonts w:asciiTheme="minorHAnsi" w:hAnsiTheme="minorHAnsi"/>
          <w:sz w:val="24"/>
          <w:szCs w:val="24"/>
          <w:lang w:val="fr-BE"/>
        </w:rPr>
        <w:t xml:space="preserve">Les inhibiteurs des </w:t>
      </w:r>
      <w:proofErr w:type="spellStart"/>
      <w:r w:rsidRPr="00673459">
        <w:rPr>
          <w:rFonts w:asciiTheme="minorHAnsi" w:hAnsiTheme="minorHAnsi"/>
          <w:sz w:val="24"/>
          <w:szCs w:val="24"/>
          <w:lang w:val="fr-BE"/>
        </w:rPr>
        <w:t>monoamineoxydases</w:t>
      </w:r>
      <w:proofErr w:type="spellEnd"/>
      <w:r w:rsidRPr="00673459">
        <w:rPr>
          <w:rFonts w:asciiTheme="minorHAnsi" w:hAnsiTheme="minorHAnsi"/>
          <w:sz w:val="24"/>
          <w:szCs w:val="24"/>
          <w:lang w:val="fr-BE"/>
        </w:rPr>
        <w:t xml:space="preserve"> ainsi que les antidépresseurs </w:t>
      </w:r>
      <w:proofErr w:type="spellStart"/>
      <w:r w:rsidRPr="00673459">
        <w:rPr>
          <w:rFonts w:asciiTheme="minorHAnsi" w:hAnsiTheme="minorHAnsi"/>
          <w:sz w:val="24"/>
          <w:szCs w:val="24"/>
          <w:lang w:val="fr-BE"/>
        </w:rPr>
        <w:t>tricyliques</w:t>
      </w:r>
      <w:proofErr w:type="spellEnd"/>
      <w:r w:rsidRPr="00673459">
        <w:rPr>
          <w:rFonts w:asciiTheme="minorHAnsi" w:hAnsiTheme="minorHAnsi"/>
          <w:sz w:val="24"/>
          <w:szCs w:val="24"/>
          <w:lang w:val="fr-BE"/>
        </w:rPr>
        <w:t xml:space="preserve"> et la </w:t>
      </w:r>
      <w:proofErr w:type="spellStart"/>
      <w:r w:rsidRPr="00673459">
        <w:rPr>
          <w:rFonts w:asciiTheme="minorHAnsi" w:hAnsiTheme="minorHAnsi"/>
          <w:sz w:val="24"/>
          <w:szCs w:val="24"/>
          <w:lang w:val="fr-BE"/>
        </w:rPr>
        <w:t>guanéthidine</w:t>
      </w:r>
      <w:proofErr w:type="spellEnd"/>
      <w:r w:rsidRPr="00673459">
        <w:rPr>
          <w:rFonts w:asciiTheme="minorHAnsi" w:hAnsiTheme="minorHAnsi"/>
          <w:sz w:val="24"/>
          <w:szCs w:val="24"/>
          <w:lang w:val="fr-BE"/>
        </w:rPr>
        <w:t xml:space="preserve"> potentialisent l’effet hypertenseur de la </w:t>
      </w:r>
      <w:proofErr w:type="spellStart"/>
      <w:r w:rsidRPr="00673459">
        <w:rPr>
          <w:rFonts w:asciiTheme="minorHAnsi" w:hAnsiTheme="minorHAnsi"/>
          <w:sz w:val="24"/>
          <w:szCs w:val="24"/>
          <w:lang w:val="fr-BE"/>
        </w:rPr>
        <w:t>ph</w:t>
      </w:r>
      <w:r w:rsidR="00881C9C" w:rsidRPr="00673459">
        <w:rPr>
          <w:rFonts w:asciiTheme="minorHAnsi" w:hAnsiTheme="minorHAnsi"/>
          <w:sz w:val="24"/>
          <w:szCs w:val="24"/>
          <w:lang w:val="fr-BE"/>
        </w:rPr>
        <w:t>é</w:t>
      </w:r>
      <w:r w:rsidRPr="00673459">
        <w:rPr>
          <w:rFonts w:asciiTheme="minorHAnsi" w:hAnsiTheme="minorHAnsi"/>
          <w:sz w:val="24"/>
          <w:szCs w:val="24"/>
          <w:lang w:val="fr-BE"/>
        </w:rPr>
        <w:t>nyl</w:t>
      </w:r>
      <w:r w:rsidR="00881C9C" w:rsidRPr="00673459">
        <w:rPr>
          <w:rFonts w:asciiTheme="minorHAnsi" w:hAnsiTheme="minorHAnsi"/>
          <w:sz w:val="24"/>
          <w:szCs w:val="24"/>
          <w:lang w:val="fr-BE"/>
        </w:rPr>
        <w:t>é</w:t>
      </w:r>
      <w:r w:rsidRPr="00673459">
        <w:rPr>
          <w:rFonts w:asciiTheme="minorHAnsi" w:hAnsiTheme="minorHAnsi"/>
          <w:sz w:val="24"/>
          <w:szCs w:val="24"/>
          <w:lang w:val="fr-BE"/>
        </w:rPr>
        <w:t>phrine</w:t>
      </w:r>
      <w:proofErr w:type="spellEnd"/>
      <w:r w:rsidRPr="00673459">
        <w:rPr>
          <w:rFonts w:asciiTheme="minorHAnsi" w:hAnsiTheme="minorHAnsi"/>
          <w:sz w:val="24"/>
          <w:szCs w:val="24"/>
          <w:lang w:val="fr-BE"/>
        </w:rPr>
        <w:t xml:space="preserve">. </w:t>
      </w:r>
      <w:proofErr w:type="spellStart"/>
      <w:r w:rsidRPr="00673459">
        <w:rPr>
          <w:rFonts w:asciiTheme="minorHAnsi" w:hAnsiTheme="minorHAnsi"/>
          <w:sz w:val="24"/>
          <w:szCs w:val="24"/>
          <w:lang w:val="fr-BE"/>
        </w:rPr>
        <w:t>Rhinoparol</w:t>
      </w:r>
      <w:proofErr w:type="spellEnd"/>
      <w:r w:rsidRPr="00673459">
        <w:rPr>
          <w:rFonts w:asciiTheme="minorHAnsi" w:hAnsiTheme="minorHAnsi"/>
          <w:sz w:val="24"/>
          <w:szCs w:val="24"/>
          <w:lang w:val="fr-BE"/>
        </w:rPr>
        <w:t xml:space="preserve"> ne peut être utilisé dans les 2 semaines qui suivent l’interruption d’un traitement aux inhibiteurs </w:t>
      </w:r>
      <w:proofErr w:type="gramStart"/>
      <w:r w:rsidRPr="00673459">
        <w:rPr>
          <w:rFonts w:asciiTheme="minorHAnsi" w:hAnsiTheme="minorHAnsi"/>
          <w:sz w:val="24"/>
          <w:szCs w:val="24"/>
          <w:lang w:val="fr-BE"/>
        </w:rPr>
        <w:t xml:space="preserve">des </w:t>
      </w:r>
      <w:r w:rsidR="00CF6356" w:rsidRPr="00673459">
        <w:rPr>
          <w:rFonts w:asciiTheme="minorHAnsi" w:hAnsiTheme="minorHAnsi"/>
          <w:sz w:val="24"/>
          <w:szCs w:val="24"/>
          <w:lang w:val="fr-BE"/>
        </w:rPr>
        <w:t>monoamine-oxydase</w:t>
      </w:r>
      <w:proofErr w:type="gramEnd"/>
      <w:r w:rsidRPr="00673459">
        <w:rPr>
          <w:rFonts w:asciiTheme="minorHAnsi" w:hAnsiTheme="minorHAnsi"/>
          <w:sz w:val="24"/>
          <w:szCs w:val="24"/>
          <w:lang w:val="fr-BE"/>
        </w:rPr>
        <w:t>.</w:t>
      </w:r>
    </w:p>
    <w:p w:rsidR="006829C3" w:rsidRPr="00673459" w:rsidRDefault="00D4578E" w:rsidP="006829C3">
      <w:pPr>
        <w:pStyle w:val="EMEAEnBodyText"/>
        <w:numPr>
          <w:ilvl w:val="0"/>
          <w:numId w:val="9"/>
        </w:numPr>
        <w:autoSpaceDE w:val="0"/>
        <w:autoSpaceDN w:val="0"/>
        <w:adjustRightInd w:val="0"/>
        <w:spacing w:before="0" w:after="0"/>
        <w:ind w:left="993" w:hanging="426"/>
        <w:rPr>
          <w:rFonts w:asciiTheme="minorHAnsi" w:hAnsiTheme="minorHAnsi"/>
          <w:sz w:val="24"/>
          <w:szCs w:val="24"/>
          <w:lang w:val="fr-BE"/>
        </w:rPr>
      </w:pPr>
      <w:r w:rsidRPr="00673459">
        <w:rPr>
          <w:rFonts w:asciiTheme="minorHAnsi" w:hAnsiTheme="minorHAnsi"/>
          <w:sz w:val="24"/>
          <w:szCs w:val="24"/>
          <w:lang w:val="fr-BE"/>
        </w:rPr>
        <w:t xml:space="preserve">L’alcool, les sédatifs, les tranquillisants et les hypnotiques peuvent renforcer l’effet sédatif de la chlorphénamine. </w:t>
      </w:r>
    </w:p>
    <w:p w:rsidR="006829C3" w:rsidRPr="00673459" w:rsidRDefault="00D4578E" w:rsidP="006829C3">
      <w:pPr>
        <w:pStyle w:val="EMEAEnBodyText"/>
        <w:numPr>
          <w:ilvl w:val="0"/>
          <w:numId w:val="9"/>
        </w:numPr>
        <w:autoSpaceDE w:val="0"/>
        <w:autoSpaceDN w:val="0"/>
        <w:adjustRightInd w:val="0"/>
        <w:spacing w:before="0" w:after="0"/>
        <w:ind w:left="993" w:hanging="426"/>
        <w:rPr>
          <w:rFonts w:asciiTheme="minorHAnsi" w:hAnsiTheme="minorHAnsi"/>
          <w:sz w:val="24"/>
          <w:szCs w:val="24"/>
          <w:lang w:val="fr-BE"/>
        </w:rPr>
      </w:pPr>
      <w:r w:rsidRPr="00673459">
        <w:rPr>
          <w:rFonts w:asciiTheme="minorHAnsi" w:hAnsiTheme="minorHAnsi"/>
          <w:sz w:val="24"/>
          <w:szCs w:val="24"/>
          <w:lang w:val="fr-BE"/>
        </w:rPr>
        <w:t xml:space="preserve">Potentialisation des effets atropiniques centraux en cas d'association avec d'autres anticholinergiques: antihistaminiques, antidépresseurs </w:t>
      </w:r>
      <w:proofErr w:type="spellStart"/>
      <w:r w:rsidRPr="00673459">
        <w:rPr>
          <w:rFonts w:asciiTheme="minorHAnsi" w:hAnsiTheme="minorHAnsi"/>
          <w:sz w:val="24"/>
          <w:szCs w:val="24"/>
          <w:lang w:val="fr-BE"/>
        </w:rPr>
        <w:t>imipraminiques</w:t>
      </w:r>
      <w:proofErr w:type="spellEnd"/>
      <w:r w:rsidRPr="00673459">
        <w:rPr>
          <w:rFonts w:asciiTheme="minorHAnsi" w:hAnsiTheme="minorHAnsi"/>
          <w:sz w:val="24"/>
          <w:szCs w:val="24"/>
          <w:lang w:val="fr-BE"/>
        </w:rPr>
        <w:t xml:space="preserve">, neuroleptiques </w:t>
      </w:r>
      <w:proofErr w:type="spellStart"/>
      <w:r w:rsidRPr="00673459">
        <w:rPr>
          <w:rFonts w:asciiTheme="minorHAnsi" w:hAnsiTheme="minorHAnsi"/>
          <w:sz w:val="24"/>
          <w:szCs w:val="24"/>
          <w:lang w:val="fr-BE"/>
        </w:rPr>
        <w:t>phénothiaziniques</w:t>
      </w:r>
      <w:proofErr w:type="spellEnd"/>
      <w:r w:rsidRPr="00673459">
        <w:rPr>
          <w:rFonts w:asciiTheme="minorHAnsi" w:hAnsiTheme="minorHAnsi"/>
          <w:sz w:val="24"/>
          <w:szCs w:val="24"/>
          <w:lang w:val="fr-BE"/>
        </w:rPr>
        <w:t xml:space="preserve">, antiparkinsoniens, anticholinergiques, antispasmodiques </w:t>
      </w:r>
      <w:proofErr w:type="spellStart"/>
      <w:r w:rsidRPr="00673459">
        <w:rPr>
          <w:rFonts w:asciiTheme="minorHAnsi" w:hAnsiTheme="minorHAnsi"/>
          <w:sz w:val="24"/>
          <w:szCs w:val="24"/>
          <w:lang w:val="fr-BE"/>
        </w:rPr>
        <w:t>atropiniques</w:t>
      </w:r>
      <w:proofErr w:type="spellEnd"/>
      <w:r w:rsidRPr="00673459">
        <w:rPr>
          <w:rFonts w:asciiTheme="minorHAnsi" w:hAnsiTheme="minorHAnsi"/>
          <w:sz w:val="24"/>
          <w:szCs w:val="24"/>
          <w:lang w:val="fr-BE"/>
        </w:rPr>
        <w:t xml:space="preserve">, </w:t>
      </w:r>
      <w:proofErr w:type="spellStart"/>
      <w:r w:rsidRPr="00673459">
        <w:rPr>
          <w:rFonts w:asciiTheme="minorHAnsi" w:hAnsiTheme="minorHAnsi"/>
          <w:sz w:val="24"/>
          <w:szCs w:val="24"/>
          <w:lang w:val="fr-BE"/>
        </w:rPr>
        <w:t>disopyramide</w:t>
      </w:r>
      <w:proofErr w:type="spellEnd"/>
      <w:r w:rsidRPr="00673459">
        <w:rPr>
          <w:rFonts w:asciiTheme="minorHAnsi" w:hAnsiTheme="minorHAnsi"/>
          <w:sz w:val="24"/>
          <w:szCs w:val="24"/>
          <w:lang w:val="fr-BE"/>
        </w:rPr>
        <w:t xml:space="preserve">. </w:t>
      </w:r>
    </w:p>
    <w:p w:rsidR="00D4578E" w:rsidRPr="00673459" w:rsidRDefault="00D4578E" w:rsidP="006829C3">
      <w:pPr>
        <w:pStyle w:val="EMEAEnBodyText"/>
        <w:numPr>
          <w:ilvl w:val="0"/>
          <w:numId w:val="9"/>
        </w:numPr>
        <w:autoSpaceDE w:val="0"/>
        <w:autoSpaceDN w:val="0"/>
        <w:adjustRightInd w:val="0"/>
        <w:spacing w:before="0" w:after="0"/>
        <w:ind w:left="993" w:hanging="426"/>
        <w:rPr>
          <w:rFonts w:asciiTheme="minorHAnsi" w:hAnsiTheme="minorHAnsi"/>
          <w:sz w:val="24"/>
          <w:szCs w:val="24"/>
          <w:lang w:val="fr-BE"/>
        </w:rPr>
      </w:pPr>
      <w:r w:rsidRPr="00673459">
        <w:rPr>
          <w:rFonts w:asciiTheme="minorHAnsi" w:hAnsiTheme="minorHAnsi"/>
          <w:sz w:val="24"/>
          <w:szCs w:val="24"/>
          <w:lang w:val="fr-BE"/>
        </w:rPr>
        <w:t>L’action des ß-bloquants peut être réduite par les antihistaminiques.</w:t>
      </w:r>
    </w:p>
    <w:p w:rsidR="00D5449E" w:rsidRPr="00673459" w:rsidRDefault="00673459" w:rsidP="0063287A">
      <w:pPr>
        <w:pStyle w:val="EMEAEnBodyText"/>
        <w:numPr>
          <w:ilvl w:val="0"/>
          <w:numId w:val="9"/>
        </w:numPr>
        <w:autoSpaceDE w:val="0"/>
        <w:autoSpaceDN w:val="0"/>
        <w:adjustRightInd w:val="0"/>
        <w:spacing w:before="0" w:after="0"/>
        <w:ind w:left="993" w:hanging="426"/>
        <w:rPr>
          <w:rFonts w:asciiTheme="minorHAnsi" w:hAnsiTheme="minorHAnsi" w:cstheme="minorHAnsi"/>
          <w:color w:val="201D1E"/>
          <w:sz w:val="24"/>
          <w:szCs w:val="24"/>
          <w:lang w:val="fr-BE"/>
        </w:rPr>
      </w:pPr>
      <w:r w:rsidRPr="00673459">
        <w:rPr>
          <w:rFonts w:asciiTheme="minorHAnsi" w:hAnsiTheme="minorHAnsi" w:cstheme="minorHAnsi"/>
          <w:iCs/>
          <w:color w:val="201D1E"/>
          <w:sz w:val="24"/>
          <w:szCs w:val="24"/>
          <w:lang w:val="fr-BE"/>
        </w:rPr>
        <w:t>In</w:t>
      </w:r>
      <w:r w:rsidR="00D5449E" w:rsidRPr="00673459">
        <w:rPr>
          <w:rFonts w:asciiTheme="minorHAnsi" w:hAnsiTheme="minorHAnsi" w:cstheme="minorHAnsi"/>
          <w:iCs/>
          <w:color w:val="201D1E"/>
          <w:sz w:val="24"/>
          <w:szCs w:val="24"/>
          <w:lang w:val="fr-BE"/>
        </w:rPr>
        <w:t xml:space="preserve">teractions dans les tests laboratoires : </w:t>
      </w:r>
    </w:p>
    <w:p w:rsidR="00D5449E" w:rsidRPr="00D5449E" w:rsidRDefault="00D5449E" w:rsidP="00D5449E">
      <w:pPr>
        <w:pStyle w:val="EMEAEnBodyText"/>
        <w:autoSpaceDE w:val="0"/>
        <w:autoSpaceDN w:val="0"/>
        <w:adjustRightInd w:val="0"/>
        <w:spacing w:before="0" w:after="0"/>
        <w:ind w:left="993"/>
        <w:rPr>
          <w:rFonts w:asciiTheme="minorHAnsi" w:hAnsiTheme="minorHAnsi" w:cstheme="minorHAnsi"/>
          <w:sz w:val="24"/>
          <w:szCs w:val="24"/>
          <w:lang w:val="fr-BE"/>
        </w:rPr>
      </w:pPr>
      <w:r w:rsidRPr="00D5449E">
        <w:rPr>
          <w:rFonts w:asciiTheme="minorHAnsi" w:hAnsiTheme="minorHAnsi" w:cstheme="minorHAnsi"/>
          <w:i/>
          <w:iCs/>
          <w:color w:val="201D1E"/>
          <w:sz w:val="24"/>
          <w:szCs w:val="24"/>
          <w:lang w:val="fr-BE"/>
        </w:rPr>
        <w:lastRenderedPageBreak/>
        <w:t xml:space="preserve">Détermination </w:t>
      </w:r>
      <w:r w:rsidRPr="00D5449E">
        <w:rPr>
          <w:rFonts w:asciiTheme="minorHAnsi" w:hAnsiTheme="minorHAnsi" w:cstheme="minorHAnsi"/>
          <w:color w:val="201D1E"/>
          <w:sz w:val="24"/>
          <w:szCs w:val="24"/>
          <w:lang w:val="fr-BE"/>
        </w:rPr>
        <w:t xml:space="preserve">de la glycémie: la méthode de glucose oxydase / peroxydase peut donner des valeurs faussement diminuées. La méthode à l’Hexokinase / glucose 6-phosphate déshydrogénase donne les vraies valeurs. Acide urique sérique: peut apparaître faussement élevé par la méthode </w:t>
      </w:r>
      <w:proofErr w:type="spellStart"/>
      <w:r w:rsidRPr="00D5449E">
        <w:rPr>
          <w:rFonts w:asciiTheme="minorHAnsi" w:hAnsiTheme="minorHAnsi" w:cstheme="minorHAnsi"/>
          <w:color w:val="201D1E"/>
          <w:sz w:val="24"/>
          <w:szCs w:val="24"/>
          <w:lang w:val="fr-BE"/>
        </w:rPr>
        <w:t>phosphotungstate</w:t>
      </w:r>
      <w:proofErr w:type="spellEnd"/>
      <w:r w:rsidRPr="00D5449E">
        <w:rPr>
          <w:rFonts w:asciiTheme="minorHAnsi" w:hAnsiTheme="minorHAnsi" w:cstheme="minorHAnsi"/>
          <w:color w:val="201D1E"/>
          <w:sz w:val="24"/>
          <w:szCs w:val="24"/>
          <w:lang w:val="fr-BE"/>
        </w:rPr>
        <w:t xml:space="preserve">. Les résultats du test de </w:t>
      </w:r>
      <w:proofErr w:type="spellStart"/>
      <w:r w:rsidRPr="00D5449E">
        <w:rPr>
          <w:rFonts w:asciiTheme="minorHAnsi" w:hAnsiTheme="minorHAnsi" w:cstheme="minorHAnsi"/>
          <w:color w:val="201D1E"/>
          <w:sz w:val="24"/>
          <w:szCs w:val="24"/>
          <w:lang w:val="fr-BE"/>
        </w:rPr>
        <w:t>bentiromide</w:t>
      </w:r>
      <w:proofErr w:type="spellEnd"/>
      <w:r w:rsidRPr="00D5449E">
        <w:rPr>
          <w:rFonts w:asciiTheme="minorHAnsi" w:hAnsiTheme="minorHAnsi" w:cstheme="minorHAnsi"/>
          <w:color w:val="201D1E"/>
          <w:sz w:val="24"/>
          <w:szCs w:val="24"/>
          <w:lang w:val="fr-BE"/>
        </w:rPr>
        <w:t xml:space="preserve"> sont invalides, parce que les deux, paracétamol et </w:t>
      </w:r>
      <w:proofErr w:type="spellStart"/>
      <w:r w:rsidRPr="00D5449E">
        <w:rPr>
          <w:rFonts w:asciiTheme="minorHAnsi" w:hAnsiTheme="minorHAnsi" w:cstheme="minorHAnsi"/>
          <w:color w:val="201D1E"/>
          <w:sz w:val="24"/>
          <w:szCs w:val="24"/>
          <w:lang w:val="fr-BE"/>
        </w:rPr>
        <w:t>bentiromide</w:t>
      </w:r>
      <w:proofErr w:type="spellEnd"/>
      <w:r w:rsidRPr="00D5449E">
        <w:rPr>
          <w:rFonts w:asciiTheme="minorHAnsi" w:hAnsiTheme="minorHAnsi" w:cstheme="minorHAnsi"/>
          <w:color w:val="201D1E"/>
          <w:sz w:val="24"/>
          <w:szCs w:val="24"/>
          <w:lang w:val="fr-BE"/>
        </w:rPr>
        <w:t>, sont métabolisés à un composé d’arylamine qui interfère avec la détermination de l’acide p-</w:t>
      </w:r>
      <w:proofErr w:type="spellStart"/>
      <w:r w:rsidRPr="00D5449E">
        <w:rPr>
          <w:rFonts w:asciiTheme="minorHAnsi" w:hAnsiTheme="minorHAnsi" w:cstheme="minorHAnsi"/>
          <w:color w:val="201D1E"/>
          <w:sz w:val="24"/>
          <w:szCs w:val="24"/>
          <w:lang w:val="fr-BE"/>
        </w:rPr>
        <w:t>aminobenzoïque</w:t>
      </w:r>
      <w:proofErr w:type="spellEnd"/>
      <w:r w:rsidRPr="00D5449E">
        <w:rPr>
          <w:rFonts w:asciiTheme="minorHAnsi" w:hAnsiTheme="minorHAnsi" w:cstheme="minorHAnsi"/>
          <w:color w:val="201D1E"/>
          <w:sz w:val="24"/>
          <w:szCs w:val="24"/>
          <w:lang w:val="fr-BE"/>
        </w:rPr>
        <w:t xml:space="preserve">. Le test qualitatif d’acide 5 </w:t>
      </w:r>
      <w:proofErr w:type="spellStart"/>
      <w:r w:rsidRPr="00D5449E">
        <w:rPr>
          <w:rFonts w:asciiTheme="minorHAnsi" w:hAnsiTheme="minorHAnsi" w:cstheme="minorHAnsi"/>
          <w:color w:val="201D1E"/>
          <w:sz w:val="24"/>
          <w:szCs w:val="24"/>
          <w:lang w:val="fr-BE"/>
        </w:rPr>
        <w:t>hydroxyindol</w:t>
      </w:r>
      <w:proofErr w:type="spellEnd"/>
      <w:r w:rsidRPr="00D5449E">
        <w:rPr>
          <w:rFonts w:asciiTheme="minorHAnsi" w:hAnsiTheme="minorHAnsi" w:cstheme="minorHAnsi"/>
          <w:color w:val="201D1E"/>
          <w:sz w:val="24"/>
          <w:szCs w:val="24"/>
          <w:lang w:val="fr-BE"/>
        </w:rPr>
        <w:t xml:space="preserve"> acétique (5-HIAA) – urinaire en utilisant un réactif </w:t>
      </w:r>
      <w:proofErr w:type="spellStart"/>
      <w:r w:rsidRPr="00D5449E">
        <w:rPr>
          <w:rFonts w:asciiTheme="minorHAnsi" w:hAnsiTheme="minorHAnsi" w:cstheme="minorHAnsi"/>
          <w:color w:val="201D1E"/>
          <w:sz w:val="24"/>
          <w:szCs w:val="24"/>
          <w:lang w:val="fr-BE"/>
        </w:rPr>
        <w:t>nitrosonaphtol</w:t>
      </w:r>
      <w:proofErr w:type="spellEnd"/>
      <w:r w:rsidRPr="00D5449E">
        <w:rPr>
          <w:rFonts w:asciiTheme="minorHAnsi" w:hAnsiTheme="minorHAnsi" w:cstheme="minorHAnsi"/>
          <w:color w:val="201D1E"/>
          <w:sz w:val="24"/>
          <w:szCs w:val="24"/>
          <w:lang w:val="fr-BE"/>
        </w:rPr>
        <w:t xml:space="preserve"> peut donner des résultats faussement positifs. Le test quantitatif n’est pas affecté. La Chlorphénamine peut interférer avec les tests d’allergie cutanée avec l’histamine entraînant des résultats faussement négatifs. </w:t>
      </w:r>
      <w:proofErr w:type="spellStart"/>
      <w:r w:rsidRPr="00D5449E">
        <w:rPr>
          <w:rFonts w:asciiTheme="minorHAnsi" w:hAnsiTheme="minorHAnsi" w:cstheme="minorHAnsi"/>
          <w:color w:val="201D1E"/>
          <w:sz w:val="24"/>
          <w:szCs w:val="24"/>
          <w:lang w:val="fr-BE"/>
        </w:rPr>
        <w:t>RhinoParol</w:t>
      </w:r>
      <w:proofErr w:type="spellEnd"/>
      <w:r w:rsidRPr="00D5449E">
        <w:rPr>
          <w:rFonts w:asciiTheme="minorHAnsi" w:hAnsiTheme="minorHAnsi" w:cstheme="minorHAnsi"/>
          <w:color w:val="201D1E"/>
          <w:sz w:val="24"/>
          <w:szCs w:val="24"/>
          <w:lang w:val="fr-BE"/>
        </w:rPr>
        <w:t xml:space="preserve"> devrait être interrompu au moins 72 heures avant les tests</w:t>
      </w:r>
      <w:r>
        <w:rPr>
          <w:rFonts w:asciiTheme="minorHAnsi" w:hAnsiTheme="minorHAnsi" w:cstheme="minorHAnsi"/>
          <w:color w:val="201D1E"/>
          <w:sz w:val="24"/>
          <w:szCs w:val="24"/>
          <w:lang w:val="fr-BE"/>
        </w:rPr>
        <w:t>.</w:t>
      </w:r>
    </w:p>
    <w:p w:rsidR="00D4578E" w:rsidRPr="006829C3" w:rsidRDefault="00D4578E" w:rsidP="006829C3">
      <w:pPr>
        <w:pStyle w:val="EMEAEnBodyText"/>
        <w:autoSpaceDE w:val="0"/>
        <w:autoSpaceDN w:val="0"/>
        <w:adjustRightInd w:val="0"/>
        <w:spacing w:before="0" w:after="0"/>
        <w:ind w:left="567"/>
        <w:rPr>
          <w:rFonts w:asciiTheme="minorHAnsi" w:hAnsiTheme="minorHAnsi"/>
          <w:sz w:val="24"/>
          <w:szCs w:val="24"/>
          <w:lang w:val="fr-FR"/>
        </w:rPr>
      </w:pPr>
    </w:p>
    <w:p w:rsidR="00282B8D" w:rsidRPr="006829C3" w:rsidRDefault="00282B8D" w:rsidP="00282B8D">
      <w:pPr>
        <w:suppressAutoHyphens/>
        <w:ind w:left="567" w:hanging="567"/>
        <w:rPr>
          <w:rFonts w:asciiTheme="minorHAnsi" w:hAnsiTheme="minorHAnsi"/>
          <w:b/>
          <w:sz w:val="24"/>
          <w:szCs w:val="24"/>
        </w:rPr>
      </w:pPr>
      <w:r w:rsidRPr="006829C3">
        <w:rPr>
          <w:rFonts w:asciiTheme="minorHAnsi" w:hAnsiTheme="minorHAnsi"/>
          <w:b/>
          <w:sz w:val="24"/>
          <w:szCs w:val="24"/>
        </w:rPr>
        <w:t>4.6</w:t>
      </w:r>
      <w:r w:rsidRPr="006829C3">
        <w:rPr>
          <w:rFonts w:asciiTheme="minorHAnsi" w:hAnsiTheme="minorHAnsi"/>
          <w:b/>
          <w:sz w:val="24"/>
          <w:szCs w:val="24"/>
        </w:rPr>
        <w:tab/>
        <w:t>Fertilité, grossesse et allaitement</w:t>
      </w:r>
    </w:p>
    <w:p w:rsidR="00282B8D" w:rsidRPr="006829C3" w:rsidRDefault="00282B8D" w:rsidP="006829C3">
      <w:pPr>
        <w:pStyle w:val="EMEAEnBodyText"/>
        <w:autoSpaceDE w:val="0"/>
        <w:autoSpaceDN w:val="0"/>
        <w:adjustRightInd w:val="0"/>
        <w:spacing w:before="0" w:after="0"/>
        <w:ind w:left="567"/>
        <w:rPr>
          <w:rFonts w:asciiTheme="minorHAnsi" w:hAnsiTheme="minorHAnsi"/>
          <w:sz w:val="24"/>
          <w:szCs w:val="24"/>
          <w:lang w:val="fr-FR"/>
        </w:rPr>
      </w:pPr>
    </w:p>
    <w:p w:rsidR="00461068" w:rsidRPr="006829C3" w:rsidRDefault="00461068" w:rsidP="006829C3">
      <w:pPr>
        <w:pStyle w:val="EMEAEnBodyText"/>
        <w:autoSpaceDE w:val="0"/>
        <w:autoSpaceDN w:val="0"/>
        <w:adjustRightInd w:val="0"/>
        <w:spacing w:before="0" w:after="0"/>
        <w:ind w:left="567"/>
        <w:rPr>
          <w:rFonts w:asciiTheme="minorHAnsi" w:hAnsiTheme="minorHAnsi"/>
          <w:b/>
          <w:sz w:val="24"/>
          <w:szCs w:val="24"/>
          <w:lang w:val="fr-FR"/>
        </w:rPr>
      </w:pPr>
      <w:r w:rsidRPr="006829C3">
        <w:rPr>
          <w:rFonts w:asciiTheme="minorHAnsi" w:hAnsiTheme="minorHAnsi"/>
          <w:b/>
          <w:sz w:val="24"/>
          <w:szCs w:val="24"/>
          <w:lang w:val="fr-FR"/>
        </w:rPr>
        <w:t>Fertilité</w:t>
      </w:r>
    </w:p>
    <w:p w:rsidR="00461068" w:rsidRPr="006829C3" w:rsidRDefault="006829C3" w:rsidP="006829C3">
      <w:pPr>
        <w:pStyle w:val="EMEAEnBodyText"/>
        <w:autoSpaceDE w:val="0"/>
        <w:autoSpaceDN w:val="0"/>
        <w:adjustRightInd w:val="0"/>
        <w:spacing w:before="0" w:after="0"/>
        <w:ind w:left="567"/>
        <w:rPr>
          <w:rFonts w:asciiTheme="minorHAnsi" w:hAnsiTheme="minorHAnsi"/>
          <w:sz w:val="24"/>
          <w:szCs w:val="24"/>
          <w:lang w:val="fr-FR"/>
        </w:rPr>
      </w:pPr>
      <w:r w:rsidRPr="006829C3">
        <w:rPr>
          <w:rFonts w:asciiTheme="minorHAnsi" w:hAnsiTheme="minorHAnsi"/>
          <w:sz w:val="24"/>
          <w:szCs w:val="24"/>
          <w:lang w:val="fr-FR"/>
        </w:rPr>
        <w:t>Pas de données disponibles.</w:t>
      </w:r>
    </w:p>
    <w:p w:rsidR="00D17E5E" w:rsidRDefault="00D17E5E" w:rsidP="006829C3">
      <w:pPr>
        <w:pStyle w:val="EMEAEnBodyText"/>
        <w:autoSpaceDE w:val="0"/>
        <w:autoSpaceDN w:val="0"/>
        <w:adjustRightInd w:val="0"/>
        <w:spacing w:before="0" w:after="0"/>
        <w:ind w:left="567"/>
        <w:rPr>
          <w:rFonts w:asciiTheme="minorHAnsi" w:hAnsiTheme="minorHAnsi"/>
          <w:b/>
          <w:sz w:val="24"/>
          <w:szCs w:val="24"/>
          <w:lang w:val="fr-FR"/>
        </w:rPr>
      </w:pPr>
    </w:p>
    <w:p w:rsidR="00282B8D" w:rsidRPr="006829C3" w:rsidRDefault="00282B8D" w:rsidP="006829C3">
      <w:pPr>
        <w:pStyle w:val="EMEAEnBodyText"/>
        <w:autoSpaceDE w:val="0"/>
        <w:autoSpaceDN w:val="0"/>
        <w:adjustRightInd w:val="0"/>
        <w:spacing w:before="0" w:after="0"/>
        <w:ind w:left="567"/>
        <w:rPr>
          <w:rFonts w:asciiTheme="minorHAnsi" w:hAnsiTheme="minorHAnsi"/>
          <w:b/>
          <w:sz w:val="24"/>
          <w:szCs w:val="24"/>
          <w:lang w:val="fr-FR"/>
        </w:rPr>
      </w:pPr>
      <w:r w:rsidRPr="006829C3">
        <w:rPr>
          <w:rFonts w:asciiTheme="minorHAnsi" w:hAnsiTheme="minorHAnsi"/>
          <w:b/>
          <w:sz w:val="24"/>
          <w:szCs w:val="24"/>
          <w:lang w:val="fr-FR"/>
        </w:rPr>
        <w:t>Grossesse</w:t>
      </w:r>
    </w:p>
    <w:p w:rsidR="00461068" w:rsidRPr="006829C3" w:rsidRDefault="0037400C" w:rsidP="006829C3">
      <w:pPr>
        <w:pStyle w:val="EMEAEnBodyText"/>
        <w:autoSpaceDE w:val="0"/>
        <w:autoSpaceDN w:val="0"/>
        <w:adjustRightInd w:val="0"/>
        <w:spacing w:before="0" w:after="0"/>
        <w:ind w:left="567"/>
        <w:rPr>
          <w:rFonts w:asciiTheme="minorHAnsi" w:hAnsiTheme="minorHAnsi"/>
          <w:sz w:val="24"/>
          <w:szCs w:val="24"/>
          <w:lang w:val="fr-FR"/>
        </w:rPr>
      </w:pPr>
      <w:r>
        <w:rPr>
          <w:rFonts w:asciiTheme="minorHAnsi" w:hAnsiTheme="minorHAnsi"/>
          <w:sz w:val="24"/>
          <w:szCs w:val="24"/>
          <w:lang w:val="fr-FR"/>
        </w:rPr>
        <w:t>Il n’existe pas de données sur l’utilisation du produit chez la femme enceinte. P</w:t>
      </w:r>
      <w:r w:rsidR="006829C3" w:rsidRPr="006829C3">
        <w:rPr>
          <w:rFonts w:asciiTheme="minorHAnsi" w:hAnsiTheme="minorHAnsi"/>
          <w:sz w:val="24"/>
          <w:szCs w:val="24"/>
          <w:lang w:val="fr-FR"/>
        </w:rPr>
        <w:t>ar mesure de prudence</w:t>
      </w:r>
      <w:r w:rsidR="00AF0946">
        <w:rPr>
          <w:rFonts w:asciiTheme="minorHAnsi" w:hAnsiTheme="minorHAnsi"/>
          <w:sz w:val="24"/>
          <w:szCs w:val="24"/>
          <w:lang w:val="fr-FR"/>
        </w:rPr>
        <w:t xml:space="preserve">, </w:t>
      </w:r>
      <w:proofErr w:type="spellStart"/>
      <w:r w:rsidR="00AF0946">
        <w:rPr>
          <w:rFonts w:asciiTheme="minorHAnsi" w:hAnsiTheme="minorHAnsi"/>
          <w:sz w:val="24"/>
          <w:szCs w:val="24"/>
          <w:lang w:val="fr-FR"/>
        </w:rPr>
        <w:t>Rhino</w:t>
      </w:r>
      <w:r>
        <w:rPr>
          <w:rFonts w:asciiTheme="minorHAnsi" w:hAnsiTheme="minorHAnsi"/>
          <w:sz w:val="24"/>
          <w:szCs w:val="24"/>
          <w:lang w:val="fr-FR"/>
        </w:rPr>
        <w:t>P</w:t>
      </w:r>
      <w:r w:rsidR="00AF0946">
        <w:rPr>
          <w:rFonts w:asciiTheme="minorHAnsi" w:hAnsiTheme="minorHAnsi"/>
          <w:sz w:val="24"/>
          <w:szCs w:val="24"/>
          <w:lang w:val="fr-FR"/>
        </w:rPr>
        <w:t>arol</w:t>
      </w:r>
      <w:proofErr w:type="spellEnd"/>
      <w:r w:rsidR="006829C3" w:rsidRPr="006829C3">
        <w:rPr>
          <w:rFonts w:asciiTheme="minorHAnsi" w:hAnsiTheme="minorHAnsi"/>
          <w:sz w:val="24"/>
          <w:szCs w:val="24"/>
          <w:lang w:val="fr-FR"/>
        </w:rPr>
        <w:t xml:space="preserve"> ne sera pas administré aux femmes enceintes.</w:t>
      </w:r>
    </w:p>
    <w:p w:rsidR="00D17E5E" w:rsidRDefault="00D17E5E" w:rsidP="006829C3">
      <w:pPr>
        <w:pStyle w:val="EMEAEnBodyText"/>
        <w:autoSpaceDE w:val="0"/>
        <w:autoSpaceDN w:val="0"/>
        <w:adjustRightInd w:val="0"/>
        <w:spacing w:before="0" w:after="0"/>
        <w:ind w:left="567"/>
        <w:rPr>
          <w:rFonts w:asciiTheme="minorHAnsi" w:hAnsiTheme="minorHAnsi"/>
          <w:b/>
          <w:sz w:val="24"/>
          <w:szCs w:val="24"/>
          <w:lang w:val="fr-FR"/>
        </w:rPr>
      </w:pPr>
    </w:p>
    <w:p w:rsidR="00282B8D" w:rsidRPr="006829C3" w:rsidRDefault="00282B8D" w:rsidP="006829C3">
      <w:pPr>
        <w:pStyle w:val="EMEAEnBodyText"/>
        <w:autoSpaceDE w:val="0"/>
        <w:autoSpaceDN w:val="0"/>
        <w:adjustRightInd w:val="0"/>
        <w:spacing w:before="0" w:after="0"/>
        <w:ind w:left="567"/>
        <w:rPr>
          <w:rFonts w:asciiTheme="minorHAnsi" w:hAnsiTheme="minorHAnsi"/>
          <w:b/>
          <w:sz w:val="24"/>
          <w:szCs w:val="24"/>
          <w:lang w:val="fr-FR"/>
        </w:rPr>
      </w:pPr>
      <w:r w:rsidRPr="006829C3">
        <w:rPr>
          <w:rFonts w:asciiTheme="minorHAnsi" w:hAnsiTheme="minorHAnsi"/>
          <w:b/>
          <w:sz w:val="24"/>
          <w:szCs w:val="24"/>
          <w:lang w:val="fr-FR"/>
        </w:rPr>
        <w:t>Allaitement</w:t>
      </w:r>
    </w:p>
    <w:p w:rsidR="00461068" w:rsidRPr="006829C3" w:rsidRDefault="006829C3" w:rsidP="006829C3">
      <w:pPr>
        <w:pStyle w:val="EMEAEnBodyText"/>
        <w:autoSpaceDE w:val="0"/>
        <w:autoSpaceDN w:val="0"/>
        <w:adjustRightInd w:val="0"/>
        <w:spacing w:before="0" w:after="0"/>
        <w:ind w:left="567"/>
        <w:rPr>
          <w:rFonts w:asciiTheme="minorHAnsi" w:hAnsiTheme="minorHAnsi"/>
          <w:sz w:val="24"/>
          <w:szCs w:val="24"/>
          <w:lang w:val="fr-FR"/>
        </w:rPr>
      </w:pPr>
      <w:r w:rsidRPr="006829C3">
        <w:rPr>
          <w:rFonts w:asciiTheme="minorHAnsi" w:hAnsiTheme="minorHAnsi"/>
          <w:sz w:val="24"/>
          <w:szCs w:val="24"/>
          <w:lang w:val="fr-FR"/>
        </w:rPr>
        <w:t xml:space="preserve">Des </w:t>
      </w:r>
      <w:r>
        <w:rPr>
          <w:rFonts w:asciiTheme="minorHAnsi" w:hAnsiTheme="minorHAnsi"/>
          <w:sz w:val="24"/>
          <w:szCs w:val="24"/>
          <w:lang w:val="fr-FR"/>
        </w:rPr>
        <w:t>s</w:t>
      </w:r>
      <w:r w:rsidRPr="006829C3">
        <w:rPr>
          <w:rFonts w:asciiTheme="minorHAnsi" w:hAnsiTheme="minorHAnsi"/>
          <w:sz w:val="24"/>
          <w:szCs w:val="24"/>
          <w:lang w:val="fr-FR"/>
        </w:rPr>
        <w:t xml:space="preserve">ubstances actives dans </w:t>
      </w:r>
      <w:r>
        <w:rPr>
          <w:rFonts w:asciiTheme="minorHAnsi" w:hAnsiTheme="minorHAnsi"/>
          <w:sz w:val="24"/>
          <w:szCs w:val="24"/>
          <w:lang w:val="fr-FR"/>
        </w:rPr>
        <w:t>l</w:t>
      </w:r>
      <w:r w:rsidRPr="006829C3">
        <w:rPr>
          <w:rFonts w:asciiTheme="minorHAnsi" w:hAnsiTheme="minorHAnsi"/>
          <w:sz w:val="24"/>
          <w:szCs w:val="24"/>
          <w:lang w:val="fr-FR"/>
        </w:rPr>
        <w:t xml:space="preserve">e </w:t>
      </w:r>
      <w:proofErr w:type="spellStart"/>
      <w:r w:rsidRPr="006829C3">
        <w:rPr>
          <w:rFonts w:asciiTheme="minorHAnsi" w:hAnsiTheme="minorHAnsi"/>
          <w:sz w:val="24"/>
          <w:szCs w:val="24"/>
          <w:lang w:val="fr-FR"/>
        </w:rPr>
        <w:t>Rhino</w:t>
      </w:r>
      <w:r w:rsidR="00E30FF2">
        <w:rPr>
          <w:rFonts w:asciiTheme="minorHAnsi" w:hAnsiTheme="minorHAnsi"/>
          <w:sz w:val="24"/>
          <w:szCs w:val="24"/>
          <w:lang w:val="fr-FR"/>
        </w:rPr>
        <w:t>P</w:t>
      </w:r>
      <w:r w:rsidRPr="006829C3">
        <w:rPr>
          <w:rFonts w:asciiTheme="minorHAnsi" w:hAnsiTheme="minorHAnsi"/>
          <w:sz w:val="24"/>
          <w:szCs w:val="24"/>
          <w:lang w:val="fr-FR"/>
        </w:rPr>
        <w:t>arol</w:t>
      </w:r>
      <w:proofErr w:type="spellEnd"/>
      <w:r w:rsidRPr="006829C3">
        <w:rPr>
          <w:rFonts w:asciiTheme="minorHAnsi" w:hAnsiTheme="minorHAnsi"/>
          <w:sz w:val="24"/>
          <w:szCs w:val="24"/>
          <w:lang w:val="fr-FR"/>
        </w:rPr>
        <w:t xml:space="preserve"> passent dans le lait maternel. L'utilisation pendant la période d'allaitement est déconseillée.</w:t>
      </w:r>
    </w:p>
    <w:p w:rsidR="00461068" w:rsidRPr="006829C3" w:rsidRDefault="00461068" w:rsidP="006829C3">
      <w:pPr>
        <w:pStyle w:val="EMEAEnBodyText"/>
        <w:autoSpaceDE w:val="0"/>
        <w:autoSpaceDN w:val="0"/>
        <w:adjustRightInd w:val="0"/>
        <w:spacing w:before="0" w:after="0"/>
        <w:ind w:left="567"/>
        <w:rPr>
          <w:rFonts w:asciiTheme="minorHAnsi" w:hAnsiTheme="minorHAnsi"/>
          <w:sz w:val="24"/>
          <w:szCs w:val="24"/>
          <w:lang w:val="fr-FR"/>
        </w:rPr>
      </w:pPr>
    </w:p>
    <w:p w:rsidR="00282B8D" w:rsidRPr="006829C3" w:rsidRDefault="00282B8D" w:rsidP="006829C3">
      <w:pPr>
        <w:pStyle w:val="EMEAEnBodyText"/>
        <w:autoSpaceDE w:val="0"/>
        <w:autoSpaceDN w:val="0"/>
        <w:adjustRightInd w:val="0"/>
        <w:spacing w:before="0" w:after="0"/>
        <w:ind w:left="567"/>
        <w:rPr>
          <w:rFonts w:asciiTheme="minorHAnsi" w:hAnsiTheme="minorHAnsi"/>
          <w:sz w:val="24"/>
          <w:szCs w:val="24"/>
          <w:lang w:val="fr-FR"/>
        </w:rPr>
      </w:pPr>
    </w:p>
    <w:p w:rsidR="00282B8D" w:rsidRPr="006829C3" w:rsidRDefault="00282B8D" w:rsidP="00282B8D">
      <w:pPr>
        <w:suppressAutoHyphens/>
        <w:ind w:left="567" w:hanging="567"/>
        <w:rPr>
          <w:rFonts w:asciiTheme="minorHAnsi" w:hAnsiTheme="minorHAnsi"/>
          <w:b/>
          <w:sz w:val="24"/>
          <w:szCs w:val="24"/>
        </w:rPr>
      </w:pPr>
      <w:r w:rsidRPr="006829C3">
        <w:rPr>
          <w:rFonts w:asciiTheme="minorHAnsi" w:hAnsiTheme="minorHAnsi"/>
          <w:b/>
          <w:sz w:val="24"/>
          <w:szCs w:val="24"/>
        </w:rPr>
        <w:t>4.7</w:t>
      </w:r>
      <w:r w:rsidRPr="006829C3">
        <w:rPr>
          <w:rFonts w:asciiTheme="minorHAnsi" w:hAnsiTheme="minorHAnsi"/>
          <w:b/>
          <w:sz w:val="24"/>
          <w:szCs w:val="24"/>
        </w:rPr>
        <w:tab/>
        <w:t>Effets sur l’aptitude à conduire des véhicules et à utiliser des machines</w:t>
      </w:r>
    </w:p>
    <w:p w:rsidR="006829C3" w:rsidRPr="007A0C5B" w:rsidRDefault="006829C3" w:rsidP="007A0C5B">
      <w:pPr>
        <w:pStyle w:val="EMEAEnBodyText"/>
        <w:autoSpaceDE w:val="0"/>
        <w:autoSpaceDN w:val="0"/>
        <w:adjustRightInd w:val="0"/>
        <w:spacing w:before="0" w:after="0"/>
        <w:ind w:left="567"/>
        <w:rPr>
          <w:rFonts w:asciiTheme="minorHAnsi" w:hAnsiTheme="minorHAnsi"/>
          <w:sz w:val="24"/>
          <w:szCs w:val="24"/>
          <w:lang w:val="fr-FR"/>
        </w:rPr>
      </w:pPr>
    </w:p>
    <w:p w:rsidR="00D27128" w:rsidRDefault="007A0C5B" w:rsidP="007A0C5B">
      <w:pPr>
        <w:pStyle w:val="EMEAEnBodyText"/>
        <w:autoSpaceDE w:val="0"/>
        <w:autoSpaceDN w:val="0"/>
        <w:adjustRightInd w:val="0"/>
        <w:spacing w:before="0" w:after="0"/>
        <w:ind w:left="567"/>
        <w:rPr>
          <w:rFonts w:asciiTheme="minorHAnsi" w:hAnsiTheme="minorHAnsi"/>
          <w:sz w:val="24"/>
          <w:szCs w:val="24"/>
          <w:lang w:val="fr-FR"/>
        </w:rPr>
      </w:pPr>
      <w:r>
        <w:rPr>
          <w:rFonts w:asciiTheme="minorHAnsi" w:hAnsiTheme="minorHAnsi"/>
          <w:sz w:val="24"/>
          <w:szCs w:val="24"/>
          <w:lang w:val="fr-FR"/>
        </w:rPr>
        <w:t xml:space="preserve">Le </w:t>
      </w:r>
      <w:proofErr w:type="spellStart"/>
      <w:r>
        <w:rPr>
          <w:rFonts w:asciiTheme="minorHAnsi" w:hAnsiTheme="minorHAnsi"/>
          <w:sz w:val="24"/>
          <w:szCs w:val="24"/>
          <w:lang w:val="fr-FR"/>
        </w:rPr>
        <w:t>Rhino</w:t>
      </w:r>
      <w:r w:rsidR="00D27128">
        <w:rPr>
          <w:rFonts w:asciiTheme="minorHAnsi" w:hAnsiTheme="minorHAnsi"/>
          <w:sz w:val="24"/>
          <w:szCs w:val="24"/>
          <w:lang w:val="fr-FR"/>
        </w:rPr>
        <w:t>P</w:t>
      </w:r>
      <w:r>
        <w:rPr>
          <w:rFonts w:asciiTheme="minorHAnsi" w:hAnsiTheme="minorHAnsi"/>
          <w:sz w:val="24"/>
          <w:szCs w:val="24"/>
          <w:lang w:val="fr-FR"/>
        </w:rPr>
        <w:t>arol</w:t>
      </w:r>
      <w:proofErr w:type="spellEnd"/>
      <w:r>
        <w:rPr>
          <w:rFonts w:asciiTheme="minorHAnsi" w:hAnsiTheme="minorHAnsi"/>
          <w:sz w:val="24"/>
          <w:szCs w:val="24"/>
          <w:lang w:val="fr-FR"/>
        </w:rPr>
        <w:t xml:space="preserve"> peut</w:t>
      </w:r>
      <w:r w:rsidR="006829C3" w:rsidRPr="007A0C5B">
        <w:rPr>
          <w:rFonts w:asciiTheme="minorHAnsi" w:hAnsiTheme="minorHAnsi"/>
          <w:sz w:val="24"/>
          <w:szCs w:val="24"/>
          <w:lang w:val="fr-FR"/>
        </w:rPr>
        <w:t xml:space="preserve"> entraîner de la somnolence et des troubles de l'accommodation</w:t>
      </w:r>
      <w:r>
        <w:rPr>
          <w:rFonts w:asciiTheme="minorHAnsi" w:hAnsiTheme="minorHAnsi"/>
          <w:sz w:val="24"/>
          <w:szCs w:val="24"/>
          <w:lang w:val="fr-FR"/>
        </w:rPr>
        <w:t>.</w:t>
      </w:r>
    </w:p>
    <w:p w:rsidR="007A0C5B" w:rsidRDefault="007A0C5B" w:rsidP="007A0C5B">
      <w:pPr>
        <w:pStyle w:val="EMEAEnBodyText"/>
        <w:autoSpaceDE w:val="0"/>
        <w:autoSpaceDN w:val="0"/>
        <w:adjustRightInd w:val="0"/>
        <w:spacing w:before="0" w:after="0"/>
        <w:ind w:left="567"/>
        <w:rPr>
          <w:rFonts w:asciiTheme="minorHAnsi" w:hAnsiTheme="minorHAnsi"/>
          <w:sz w:val="24"/>
          <w:szCs w:val="24"/>
          <w:lang w:val="fr-FR"/>
        </w:rPr>
      </w:pPr>
      <w:r>
        <w:rPr>
          <w:rFonts w:asciiTheme="minorHAnsi" w:hAnsiTheme="minorHAnsi"/>
          <w:sz w:val="24"/>
          <w:szCs w:val="24"/>
          <w:lang w:val="fr-FR"/>
        </w:rPr>
        <w:t xml:space="preserve">La conduite de voiture et l’utilisation des machines nécessitent une vigilance </w:t>
      </w:r>
      <w:r w:rsidR="00D27128">
        <w:rPr>
          <w:rFonts w:asciiTheme="minorHAnsi" w:hAnsiTheme="minorHAnsi"/>
          <w:sz w:val="24"/>
          <w:szCs w:val="24"/>
          <w:lang w:val="fr-FR"/>
        </w:rPr>
        <w:t>particulière</w:t>
      </w:r>
      <w:r>
        <w:rPr>
          <w:rFonts w:asciiTheme="minorHAnsi" w:hAnsiTheme="minorHAnsi"/>
          <w:sz w:val="24"/>
          <w:szCs w:val="24"/>
          <w:lang w:val="fr-FR"/>
        </w:rPr>
        <w:t>.</w:t>
      </w:r>
    </w:p>
    <w:p w:rsidR="006829C3" w:rsidRPr="007A0C5B" w:rsidRDefault="007A0C5B" w:rsidP="007A0C5B">
      <w:pPr>
        <w:pStyle w:val="EMEAEnBodyText"/>
        <w:autoSpaceDE w:val="0"/>
        <w:autoSpaceDN w:val="0"/>
        <w:adjustRightInd w:val="0"/>
        <w:spacing w:before="0" w:after="0"/>
        <w:ind w:left="567"/>
        <w:rPr>
          <w:rFonts w:asciiTheme="minorHAnsi" w:hAnsiTheme="minorHAnsi"/>
          <w:sz w:val="24"/>
          <w:szCs w:val="24"/>
          <w:lang w:val="fr-FR"/>
        </w:rPr>
      </w:pPr>
      <w:r>
        <w:rPr>
          <w:rFonts w:asciiTheme="minorHAnsi" w:hAnsiTheme="minorHAnsi"/>
          <w:sz w:val="24"/>
          <w:szCs w:val="24"/>
          <w:lang w:val="fr-FR"/>
        </w:rPr>
        <w:t>L’</w:t>
      </w:r>
      <w:r w:rsidR="006829C3" w:rsidRPr="007A0C5B">
        <w:rPr>
          <w:rFonts w:asciiTheme="minorHAnsi" w:hAnsiTheme="minorHAnsi"/>
          <w:sz w:val="24"/>
          <w:szCs w:val="24"/>
          <w:lang w:val="fr-FR"/>
        </w:rPr>
        <w:t xml:space="preserve">alcool et </w:t>
      </w:r>
      <w:r>
        <w:rPr>
          <w:rFonts w:asciiTheme="minorHAnsi" w:hAnsiTheme="minorHAnsi"/>
          <w:sz w:val="24"/>
          <w:szCs w:val="24"/>
          <w:lang w:val="fr-FR"/>
        </w:rPr>
        <w:t>les</w:t>
      </w:r>
      <w:r w:rsidR="006829C3" w:rsidRPr="007A0C5B">
        <w:rPr>
          <w:rFonts w:asciiTheme="minorHAnsi" w:hAnsiTheme="minorHAnsi"/>
          <w:sz w:val="24"/>
          <w:szCs w:val="24"/>
          <w:lang w:val="fr-FR"/>
        </w:rPr>
        <w:t xml:space="preserve"> sédatifs augmente</w:t>
      </w:r>
      <w:r>
        <w:rPr>
          <w:rFonts w:asciiTheme="minorHAnsi" w:hAnsiTheme="minorHAnsi"/>
          <w:sz w:val="24"/>
          <w:szCs w:val="24"/>
          <w:lang w:val="fr-FR"/>
        </w:rPr>
        <w:t>nt</w:t>
      </w:r>
      <w:r w:rsidR="006829C3" w:rsidRPr="007A0C5B">
        <w:rPr>
          <w:rFonts w:asciiTheme="minorHAnsi" w:hAnsiTheme="minorHAnsi"/>
          <w:sz w:val="24"/>
          <w:szCs w:val="24"/>
          <w:lang w:val="fr-FR"/>
        </w:rPr>
        <w:t xml:space="preserve"> encore </w:t>
      </w:r>
      <w:r>
        <w:rPr>
          <w:rFonts w:asciiTheme="minorHAnsi" w:hAnsiTheme="minorHAnsi"/>
          <w:sz w:val="24"/>
          <w:szCs w:val="24"/>
          <w:lang w:val="fr-FR"/>
        </w:rPr>
        <w:t>le risque de</w:t>
      </w:r>
      <w:r w:rsidR="006829C3" w:rsidRPr="007A0C5B">
        <w:rPr>
          <w:rFonts w:asciiTheme="minorHAnsi" w:hAnsiTheme="minorHAnsi"/>
          <w:sz w:val="24"/>
          <w:szCs w:val="24"/>
          <w:lang w:val="fr-FR"/>
        </w:rPr>
        <w:t xml:space="preserve"> somnolence.</w:t>
      </w:r>
    </w:p>
    <w:p w:rsidR="006829C3" w:rsidRPr="007A0C5B" w:rsidRDefault="006829C3" w:rsidP="007A0C5B">
      <w:pPr>
        <w:pStyle w:val="EMEAEnBodyText"/>
        <w:autoSpaceDE w:val="0"/>
        <w:autoSpaceDN w:val="0"/>
        <w:adjustRightInd w:val="0"/>
        <w:spacing w:before="0" w:after="0"/>
        <w:ind w:left="567"/>
        <w:rPr>
          <w:rFonts w:asciiTheme="minorHAnsi" w:hAnsiTheme="minorHAnsi"/>
          <w:sz w:val="24"/>
          <w:szCs w:val="24"/>
          <w:lang w:val="fr-FR"/>
        </w:rPr>
      </w:pPr>
    </w:p>
    <w:p w:rsidR="00282B8D" w:rsidRPr="006829C3" w:rsidRDefault="00282B8D" w:rsidP="00282B8D">
      <w:pPr>
        <w:suppressAutoHyphens/>
        <w:ind w:left="567" w:hanging="567"/>
        <w:rPr>
          <w:rFonts w:asciiTheme="minorHAnsi" w:hAnsiTheme="minorHAnsi"/>
          <w:b/>
          <w:sz w:val="24"/>
          <w:szCs w:val="24"/>
        </w:rPr>
      </w:pPr>
      <w:r w:rsidRPr="006829C3">
        <w:rPr>
          <w:rFonts w:asciiTheme="minorHAnsi" w:hAnsiTheme="minorHAnsi"/>
          <w:b/>
          <w:sz w:val="24"/>
          <w:szCs w:val="24"/>
        </w:rPr>
        <w:t>4.8</w:t>
      </w:r>
      <w:r w:rsidRPr="006829C3">
        <w:rPr>
          <w:rFonts w:asciiTheme="minorHAnsi" w:hAnsiTheme="minorHAnsi"/>
          <w:b/>
          <w:sz w:val="24"/>
          <w:szCs w:val="24"/>
        </w:rPr>
        <w:tab/>
        <w:t>Effets indésirables</w:t>
      </w:r>
    </w:p>
    <w:p w:rsidR="00881C9C" w:rsidRDefault="00881C9C" w:rsidP="00AF262D">
      <w:pPr>
        <w:pStyle w:val="EMEAEnBodyText"/>
        <w:autoSpaceDE w:val="0"/>
        <w:autoSpaceDN w:val="0"/>
        <w:adjustRightInd w:val="0"/>
        <w:spacing w:before="0" w:after="0"/>
        <w:ind w:left="567"/>
        <w:rPr>
          <w:rFonts w:asciiTheme="minorHAnsi" w:hAnsiTheme="minorHAnsi"/>
          <w:b/>
          <w:sz w:val="24"/>
          <w:szCs w:val="24"/>
          <w:lang w:val="fr-FR"/>
        </w:rPr>
      </w:pPr>
    </w:p>
    <w:p w:rsidR="00D27128" w:rsidRPr="00D27128" w:rsidRDefault="00D27128" w:rsidP="00D27128">
      <w:pPr>
        <w:pStyle w:val="EMEAEnBodyText"/>
        <w:autoSpaceDE w:val="0"/>
        <w:autoSpaceDN w:val="0"/>
        <w:adjustRightInd w:val="0"/>
        <w:spacing w:before="0" w:after="0"/>
        <w:ind w:left="567"/>
        <w:rPr>
          <w:rFonts w:asciiTheme="minorHAnsi" w:hAnsiTheme="minorHAnsi"/>
          <w:b/>
          <w:i/>
          <w:sz w:val="24"/>
          <w:szCs w:val="24"/>
          <w:lang w:val="fr-FR"/>
        </w:rPr>
      </w:pPr>
      <w:r w:rsidRPr="00D27128">
        <w:rPr>
          <w:rFonts w:asciiTheme="minorHAnsi" w:hAnsiTheme="minorHAnsi"/>
          <w:b/>
          <w:i/>
          <w:sz w:val="24"/>
          <w:szCs w:val="24"/>
          <w:lang w:val="fr-FR"/>
        </w:rPr>
        <w:t>Liées à la présence du paracétamol</w:t>
      </w:r>
    </w:p>
    <w:p w:rsidR="00D27128" w:rsidRPr="00AF262D" w:rsidRDefault="00D27128" w:rsidP="00D27128">
      <w:pPr>
        <w:pStyle w:val="EMEAEnBodyText"/>
        <w:numPr>
          <w:ilvl w:val="0"/>
          <w:numId w:val="11"/>
        </w:numPr>
        <w:autoSpaceDE w:val="0"/>
        <w:autoSpaceDN w:val="0"/>
        <w:adjustRightInd w:val="0"/>
        <w:spacing w:before="0" w:after="0"/>
        <w:rPr>
          <w:rFonts w:asciiTheme="minorHAnsi" w:hAnsiTheme="minorHAnsi"/>
          <w:sz w:val="24"/>
          <w:szCs w:val="24"/>
          <w:lang w:val="fr-FR"/>
        </w:rPr>
      </w:pPr>
      <w:r w:rsidRPr="00AF262D">
        <w:rPr>
          <w:rFonts w:asciiTheme="minorHAnsi" w:hAnsiTheme="minorHAnsi"/>
          <w:sz w:val="24"/>
          <w:szCs w:val="24"/>
          <w:lang w:val="fr-FR"/>
        </w:rPr>
        <w:t>Aux doses thérapeutiques de paracétamol, peu d’effets indésirables apparaissent.</w:t>
      </w:r>
    </w:p>
    <w:p w:rsidR="00D27128" w:rsidRPr="00AF262D" w:rsidRDefault="00D27128" w:rsidP="00D27128">
      <w:pPr>
        <w:pStyle w:val="EMEAEnBodyText"/>
        <w:numPr>
          <w:ilvl w:val="0"/>
          <w:numId w:val="11"/>
        </w:numPr>
        <w:autoSpaceDE w:val="0"/>
        <w:autoSpaceDN w:val="0"/>
        <w:adjustRightInd w:val="0"/>
        <w:spacing w:before="0" w:after="0"/>
        <w:rPr>
          <w:rFonts w:asciiTheme="minorHAnsi" w:hAnsiTheme="minorHAnsi"/>
          <w:sz w:val="24"/>
          <w:szCs w:val="24"/>
          <w:lang w:val="fr-FR"/>
        </w:rPr>
      </w:pPr>
      <w:r>
        <w:rPr>
          <w:rFonts w:asciiTheme="minorHAnsi" w:hAnsiTheme="minorHAnsi"/>
          <w:sz w:val="24"/>
          <w:szCs w:val="24"/>
          <w:lang w:val="fr-FR"/>
        </w:rPr>
        <w:t xml:space="preserve">A </w:t>
      </w:r>
      <w:r w:rsidRPr="00AF262D">
        <w:rPr>
          <w:rFonts w:asciiTheme="minorHAnsi" w:hAnsiTheme="minorHAnsi"/>
          <w:sz w:val="24"/>
          <w:szCs w:val="24"/>
          <w:lang w:val="fr-FR"/>
        </w:rPr>
        <w:t>de</w:t>
      </w:r>
      <w:r>
        <w:rPr>
          <w:rFonts w:asciiTheme="minorHAnsi" w:hAnsiTheme="minorHAnsi"/>
          <w:sz w:val="24"/>
          <w:szCs w:val="24"/>
          <w:lang w:val="fr-FR"/>
        </w:rPr>
        <w:t>s</w:t>
      </w:r>
      <w:r w:rsidRPr="00AF262D">
        <w:rPr>
          <w:rFonts w:asciiTheme="minorHAnsi" w:hAnsiTheme="minorHAnsi"/>
          <w:sz w:val="24"/>
          <w:szCs w:val="24"/>
          <w:lang w:val="fr-FR"/>
        </w:rPr>
        <w:t xml:space="preserve"> doses très importantes</w:t>
      </w:r>
      <w:r>
        <w:rPr>
          <w:rFonts w:asciiTheme="minorHAnsi" w:hAnsiTheme="minorHAnsi"/>
          <w:sz w:val="24"/>
          <w:szCs w:val="24"/>
          <w:lang w:val="fr-FR"/>
        </w:rPr>
        <w:t xml:space="preserve">, le paracétamol </w:t>
      </w:r>
      <w:r w:rsidRPr="00AF262D">
        <w:rPr>
          <w:rFonts w:asciiTheme="minorHAnsi" w:hAnsiTheme="minorHAnsi"/>
          <w:sz w:val="24"/>
          <w:szCs w:val="24"/>
          <w:lang w:val="fr-FR"/>
        </w:rPr>
        <w:t>peut e</w:t>
      </w:r>
      <w:r>
        <w:rPr>
          <w:rFonts w:asciiTheme="minorHAnsi" w:hAnsiTheme="minorHAnsi"/>
          <w:sz w:val="24"/>
          <w:szCs w:val="24"/>
          <w:lang w:val="fr-FR"/>
        </w:rPr>
        <w:t xml:space="preserve">ntraîner une cytolyse hépatique importante </w:t>
      </w:r>
      <w:r w:rsidRPr="00AF262D">
        <w:rPr>
          <w:rFonts w:asciiTheme="minorHAnsi" w:hAnsiTheme="minorHAnsi"/>
          <w:sz w:val="24"/>
          <w:szCs w:val="24"/>
          <w:lang w:val="fr-FR"/>
        </w:rPr>
        <w:t xml:space="preserve">(voir Surdosage </w:t>
      </w:r>
      <w:r>
        <w:rPr>
          <w:rFonts w:asciiTheme="minorHAnsi" w:hAnsiTheme="minorHAnsi"/>
          <w:sz w:val="24"/>
          <w:szCs w:val="24"/>
          <w:lang w:val="fr-FR"/>
        </w:rPr>
        <w:t>rubrique 4.9).</w:t>
      </w:r>
    </w:p>
    <w:p w:rsidR="00D27128" w:rsidRPr="00AF262D" w:rsidRDefault="00D27128" w:rsidP="00D27128">
      <w:pPr>
        <w:pStyle w:val="EMEAEnBodyText"/>
        <w:numPr>
          <w:ilvl w:val="0"/>
          <w:numId w:val="11"/>
        </w:numPr>
        <w:autoSpaceDE w:val="0"/>
        <w:autoSpaceDN w:val="0"/>
        <w:adjustRightInd w:val="0"/>
        <w:spacing w:before="0" w:after="0"/>
        <w:rPr>
          <w:rFonts w:asciiTheme="minorHAnsi" w:hAnsiTheme="minorHAnsi"/>
          <w:sz w:val="24"/>
          <w:szCs w:val="24"/>
          <w:lang w:val="fr-FR"/>
        </w:rPr>
      </w:pPr>
      <w:r w:rsidRPr="00AF262D">
        <w:rPr>
          <w:rFonts w:asciiTheme="minorHAnsi" w:hAnsiTheme="minorHAnsi"/>
          <w:sz w:val="24"/>
          <w:szCs w:val="24"/>
          <w:lang w:val="fr-FR"/>
        </w:rPr>
        <w:t xml:space="preserve">De rares cas de thrombopénies </w:t>
      </w:r>
      <w:r>
        <w:rPr>
          <w:rFonts w:asciiTheme="minorHAnsi" w:hAnsiTheme="minorHAnsi"/>
          <w:sz w:val="24"/>
          <w:szCs w:val="24"/>
          <w:lang w:val="fr-FR"/>
        </w:rPr>
        <w:t>ont été rapportés.</w:t>
      </w:r>
    </w:p>
    <w:p w:rsidR="00D27128" w:rsidRDefault="00D27128" w:rsidP="00D27128">
      <w:pPr>
        <w:pStyle w:val="EMEAEnBodyText"/>
        <w:numPr>
          <w:ilvl w:val="0"/>
          <w:numId w:val="11"/>
        </w:numPr>
        <w:autoSpaceDE w:val="0"/>
        <w:autoSpaceDN w:val="0"/>
        <w:adjustRightInd w:val="0"/>
        <w:spacing w:before="0" w:after="0"/>
        <w:rPr>
          <w:rFonts w:asciiTheme="minorHAnsi" w:hAnsiTheme="minorHAnsi"/>
          <w:sz w:val="24"/>
          <w:szCs w:val="24"/>
          <w:lang w:val="fr-FR"/>
        </w:rPr>
      </w:pPr>
      <w:r w:rsidRPr="00AF262D">
        <w:rPr>
          <w:rFonts w:asciiTheme="minorHAnsi" w:hAnsiTheme="minorHAnsi"/>
          <w:sz w:val="24"/>
          <w:szCs w:val="24"/>
          <w:lang w:val="fr-FR"/>
        </w:rPr>
        <w:t>Des r</w:t>
      </w:r>
      <w:r>
        <w:rPr>
          <w:rFonts w:asciiTheme="minorHAnsi" w:hAnsiTheme="minorHAnsi"/>
          <w:sz w:val="24"/>
          <w:szCs w:val="24"/>
          <w:lang w:val="fr-FR"/>
        </w:rPr>
        <w:t>é</w:t>
      </w:r>
      <w:r w:rsidRPr="00AF262D">
        <w:rPr>
          <w:rFonts w:asciiTheme="minorHAnsi" w:hAnsiTheme="minorHAnsi"/>
          <w:sz w:val="24"/>
          <w:szCs w:val="24"/>
          <w:lang w:val="fr-FR"/>
        </w:rPr>
        <w:t>actions d’hypersensibilité au paracétamol ont été rapportées :</w:t>
      </w:r>
      <w:r>
        <w:rPr>
          <w:rFonts w:asciiTheme="minorHAnsi" w:hAnsiTheme="minorHAnsi"/>
          <w:sz w:val="24"/>
          <w:szCs w:val="24"/>
          <w:lang w:val="fr-FR"/>
        </w:rPr>
        <w:t xml:space="preserve"> p</w:t>
      </w:r>
      <w:r w:rsidRPr="00AF262D">
        <w:rPr>
          <w:rFonts w:asciiTheme="minorHAnsi" w:hAnsiTheme="minorHAnsi"/>
          <w:sz w:val="24"/>
          <w:szCs w:val="24"/>
          <w:lang w:val="fr-FR"/>
        </w:rPr>
        <w:t xml:space="preserve">rurit, éruption, transpiration, purpura, </w:t>
      </w:r>
      <w:proofErr w:type="spellStart"/>
      <w:r w:rsidRPr="00AF262D">
        <w:rPr>
          <w:rFonts w:asciiTheme="minorHAnsi" w:hAnsiTheme="minorHAnsi"/>
          <w:sz w:val="24"/>
          <w:szCs w:val="24"/>
          <w:lang w:val="fr-FR"/>
        </w:rPr>
        <w:t>angio</w:t>
      </w:r>
      <w:proofErr w:type="spellEnd"/>
      <w:r w:rsidRPr="00AF262D">
        <w:rPr>
          <w:rFonts w:asciiTheme="minorHAnsi" w:hAnsiTheme="minorHAnsi"/>
          <w:sz w:val="24"/>
          <w:szCs w:val="24"/>
          <w:lang w:val="fr-FR"/>
        </w:rPr>
        <w:t>-œdème, urticaire De très rares cas de réactions cutanées graves ont été signalés.</w:t>
      </w:r>
    </w:p>
    <w:p w:rsidR="00D27128" w:rsidRPr="00AF262D" w:rsidRDefault="00D27128" w:rsidP="00D27128">
      <w:pPr>
        <w:pStyle w:val="EMEAEnBodyText"/>
        <w:autoSpaceDE w:val="0"/>
        <w:autoSpaceDN w:val="0"/>
        <w:adjustRightInd w:val="0"/>
        <w:spacing w:before="0" w:after="0"/>
        <w:ind w:left="1287"/>
        <w:rPr>
          <w:rFonts w:asciiTheme="minorHAnsi" w:hAnsiTheme="minorHAnsi"/>
          <w:sz w:val="24"/>
          <w:szCs w:val="24"/>
          <w:lang w:val="fr-FR"/>
        </w:rPr>
      </w:pPr>
    </w:p>
    <w:p w:rsidR="00D27128" w:rsidRPr="00D27128" w:rsidRDefault="00D27128" w:rsidP="00D27128">
      <w:pPr>
        <w:pStyle w:val="EMEAEnBodyText"/>
        <w:autoSpaceDE w:val="0"/>
        <w:autoSpaceDN w:val="0"/>
        <w:adjustRightInd w:val="0"/>
        <w:spacing w:before="0" w:after="0"/>
        <w:ind w:left="567"/>
        <w:rPr>
          <w:rFonts w:asciiTheme="minorHAnsi" w:hAnsiTheme="minorHAnsi"/>
          <w:b/>
          <w:i/>
          <w:sz w:val="24"/>
          <w:szCs w:val="24"/>
          <w:lang w:val="fr-FR"/>
        </w:rPr>
      </w:pPr>
      <w:r w:rsidRPr="00D27128">
        <w:rPr>
          <w:rFonts w:asciiTheme="minorHAnsi" w:hAnsiTheme="minorHAnsi"/>
          <w:b/>
          <w:i/>
          <w:sz w:val="24"/>
          <w:szCs w:val="24"/>
          <w:lang w:val="fr-FR"/>
        </w:rPr>
        <w:t xml:space="preserve">Liées à la présence de la </w:t>
      </w:r>
      <w:proofErr w:type="spellStart"/>
      <w:r w:rsidRPr="00D27128">
        <w:rPr>
          <w:rFonts w:asciiTheme="minorHAnsi" w:hAnsiTheme="minorHAnsi"/>
          <w:b/>
          <w:i/>
          <w:sz w:val="24"/>
          <w:szCs w:val="24"/>
          <w:lang w:val="fr-FR"/>
        </w:rPr>
        <w:t>phényléphrine</w:t>
      </w:r>
      <w:proofErr w:type="spellEnd"/>
    </w:p>
    <w:p w:rsidR="00D27128" w:rsidRDefault="00D27128" w:rsidP="00D27128">
      <w:pPr>
        <w:pStyle w:val="EMEAEnBodyText"/>
        <w:autoSpaceDE w:val="0"/>
        <w:autoSpaceDN w:val="0"/>
        <w:adjustRightInd w:val="0"/>
        <w:spacing w:before="0" w:after="0"/>
        <w:ind w:left="567"/>
        <w:rPr>
          <w:rFonts w:asciiTheme="minorHAnsi" w:hAnsiTheme="minorHAnsi"/>
          <w:b/>
          <w:sz w:val="24"/>
          <w:szCs w:val="24"/>
          <w:lang w:val="fr-FR"/>
        </w:rPr>
      </w:pPr>
      <w:r>
        <w:rPr>
          <w:rFonts w:asciiTheme="minorHAnsi" w:hAnsiTheme="minorHAnsi"/>
          <w:sz w:val="24"/>
          <w:szCs w:val="24"/>
          <w:lang w:val="fr-FR"/>
        </w:rPr>
        <w:lastRenderedPageBreak/>
        <w:t>C</w:t>
      </w:r>
      <w:r w:rsidRPr="00AF262D">
        <w:rPr>
          <w:rFonts w:asciiTheme="minorHAnsi" w:hAnsiTheme="minorHAnsi"/>
          <w:sz w:val="24"/>
          <w:szCs w:val="24"/>
          <w:lang w:val="fr-FR"/>
        </w:rPr>
        <w:t>éphalées, nervosité, insomnie, stimulation centrale, confusion, anxiété, états psychotiques</w:t>
      </w:r>
      <w:r w:rsidRPr="00666CC1">
        <w:rPr>
          <w:rFonts w:asciiTheme="minorHAnsi" w:hAnsiTheme="minorHAnsi"/>
          <w:b/>
          <w:sz w:val="24"/>
          <w:szCs w:val="24"/>
          <w:lang w:val="fr-FR"/>
        </w:rPr>
        <w:t xml:space="preserve"> </w:t>
      </w:r>
    </w:p>
    <w:p w:rsidR="00D27128" w:rsidRDefault="00D27128" w:rsidP="00D27128">
      <w:pPr>
        <w:pStyle w:val="EMEAEnBodyText"/>
        <w:autoSpaceDE w:val="0"/>
        <w:autoSpaceDN w:val="0"/>
        <w:adjustRightInd w:val="0"/>
        <w:spacing w:before="0" w:after="0"/>
        <w:ind w:left="567"/>
        <w:rPr>
          <w:rFonts w:asciiTheme="minorHAnsi" w:hAnsiTheme="minorHAnsi"/>
          <w:b/>
          <w:sz w:val="24"/>
          <w:szCs w:val="24"/>
          <w:lang w:val="fr-FR"/>
        </w:rPr>
      </w:pPr>
    </w:p>
    <w:p w:rsidR="005D4BF3" w:rsidRPr="00D27128" w:rsidRDefault="007A0C5B" w:rsidP="00D27128">
      <w:pPr>
        <w:pStyle w:val="EMEAEnBodyText"/>
        <w:autoSpaceDE w:val="0"/>
        <w:autoSpaceDN w:val="0"/>
        <w:adjustRightInd w:val="0"/>
        <w:spacing w:before="0" w:after="0"/>
        <w:ind w:left="567"/>
        <w:rPr>
          <w:rFonts w:asciiTheme="minorHAnsi" w:hAnsiTheme="minorHAnsi"/>
          <w:b/>
          <w:i/>
          <w:sz w:val="24"/>
          <w:szCs w:val="24"/>
          <w:lang w:val="fr-FR"/>
        </w:rPr>
      </w:pPr>
      <w:r w:rsidRPr="00D27128">
        <w:rPr>
          <w:rFonts w:asciiTheme="minorHAnsi" w:hAnsiTheme="minorHAnsi"/>
          <w:b/>
          <w:i/>
          <w:sz w:val="24"/>
          <w:szCs w:val="24"/>
          <w:lang w:val="fr-FR"/>
        </w:rPr>
        <w:t>Liées à la</w:t>
      </w:r>
      <w:r w:rsidR="00666CC1" w:rsidRPr="00D27128">
        <w:rPr>
          <w:rFonts w:asciiTheme="minorHAnsi" w:hAnsiTheme="minorHAnsi"/>
          <w:b/>
          <w:i/>
          <w:sz w:val="24"/>
          <w:szCs w:val="24"/>
          <w:lang w:val="fr-FR"/>
        </w:rPr>
        <w:t xml:space="preserve"> présence de la chlorphénamine</w:t>
      </w:r>
    </w:p>
    <w:p w:rsidR="005D4BF3" w:rsidRPr="00AF262D" w:rsidRDefault="007A0C5B" w:rsidP="00666CC1">
      <w:pPr>
        <w:pStyle w:val="EMEAEnBodyText"/>
        <w:numPr>
          <w:ilvl w:val="0"/>
          <w:numId w:val="12"/>
        </w:numPr>
        <w:autoSpaceDE w:val="0"/>
        <w:autoSpaceDN w:val="0"/>
        <w:adjustRightInd w:val="0"/>
        <w:spacing w:before="0" w:after="0"/>
        <w:rPr>
          <w:rFonts w:asciiTheme="minorHAnsi" w:hAnsiTheme="minorHAnsi"/>
          <w:sz w:val="24"/>
          <w:szCs w:val="24"/>
          <w:lang w:val="fr-FR"/>
        </w:rPr>
      </w:pPr>
      <w:r w:rsidRPr="00AF262D">
        <w:rPr>
          <w:rFonts w:asciiTheme="minorHAnsi" w:hAnsiTheme="minorHAnsi"/>
          <w:sz w:val="24"/>
          <w:szCs w:val="24"/>
          <w:lang w:val="fr-FR"/>
        </w:rPr>
        <w:t>Somnolence diurne</w:t>
      </w:r>
      <w:r w:rsidR="0097685B">
        <w:rPr>
          <w:rFonts w:asciiTheme="minorHAnsi" w:hAnsiTheme="minorHAnsi"/>
          <w:sz w:val="24"/>
          <w:szCs w:val="24"/>
          <w:lang w:val="fr-FR"/>
        </w:rPr>
        <w:t>.</w:t>
      </w:r>
    </w:p>
    <w:p w:rsidR="0097685B" w:rsidRDefault="007A0C5B" w:rsidP="00666CC1">
      <w:pPr>
        <w:pStyle w:val="EMEAEnBodyText"/>
        <w:numPr>
          <w:ilvl w:val="0"/>
          <w:numId w:val="12"/>
        </w:numPr>
        <w:autoSpaceDE w:val="0"/>
        <w:autoSpaceDN w:val="0"/>
        <w:adjustRightInd w:val="0"/>
        <w:spacing w:before="0" w:after="0"/>
        <w:rPr>
          <w:rFonts w:asciiTheme="minorHAnsi" w:hAnsiTheme="minorHAnsi"/>
          <w:sz w:val="24"/>
          <w:szCs w:val="24"/>
          <w:lang w:val="fr-FR"/>
        </w:rPr>
      </w:pPr>
      <w:r w:rsidRPr="00AF262D">
        <w:rPr>
          <w:rFonts w:asciiTheme="minorHAnsi" w:hAnsiTheme="minorHAnsi"/>
          <w:sz w:val="24"/>
          <w:szCs w:val="24"/>
          <w:lang w:val="fr-FR"/>
        </w:rPr>
        <w:t>Effets atropiniques: sécheresse de la bouche, troubles de l'accommodation, constipation, rétention urinaire, confusion mentale ou ex</w:t>
      </w:r>
      <w:r w:rsidR="0097685B">
        <w:rPr>
          <w:rFonts w:asciiTheme="minorHAnsi" w:hAnsiTheme="minorHAnsi"/>
          <w:sz w:val="24"/>
          <w:szCs w:val="24"/>
          <w:lang w:val="fr-FR"/>
        </w:rPr>
        <w:t>citation chez les patients âgés.</w:t>
      </w:r>
    </w:p>
    <w:p w:rsidR="005D4BF3" w:rsidRPr="00AF262D" w:rsidRDefault="0097685B" w:rsidP="00666CC1">
      <w:pPr>
        <w:pStyle w:val="EMEAEnBodyText"/>
        <w:numPr>
          <w:ilvl w:val="0"/>
          <w:numId w:val="12"/>
        </w:numPr>
        <w:autoSpaceDE w:val="0"/>
        <w:autoSpaceDN w:val="0"/>
        <w:adjustRightInd w:val="0"/>
        <w:spacing w:before="0" w:after="0"/>
        <w:rPr>
          <w:rFonts w:asciiTheme="minorHAnsi" w:hAnsiTheme="minorHAnsi"/>
          <w:sz w:val="24"/>
          <w:szCs w:val="24"/>
          <w:lang w:val="fr-FR"/>
        </w:rPr>
      </w:pPr>
      <w:r>
        <w:rPr>
          <w:rFonts w:asciiTheme="minorHAnsi" w:hAnsiTheme="minorHAnsi"/>
          <w:sz w:val="24"/>
          <w:szCs w:val="24"/>
          <w:lang w:val="fr-FR"/>
        </w:rPr>
        <w:t>Intolérances digestives.</w:t>
      </w:r>
    </w:p>
    <w:p w:rsidR="007A0C5B" w:rsidRDefault="007A0C5B" w:rsidP="00666CC1">
      <w:pPr>
        <w:pStyle w:val="EMEAEnBodyText"/>
        <w:numPr>
          <w:ilvl w:val="0"/>
          <w:numId w:val="12"/>
        </w:numPr>
        <w:autoSpaceDE w:val="0"/>
        <w:autoSpaceDN w:val="0"/>
        <w:adjustRightInd w:val="0"/>
        <w:spacing w:before="0" w:after="0"/>
        <w:rPr>
          <w:rFonts w:asciiTheme="minorHAnsi" w:hAnsiTheme="minorHAnsi"/>
          <w:sz w:val="24"/>
          <w:szCs w:val="24"/>
          <w:lang w:val="fr-FR"/>
        </w:rPr>
      </w:pPr>
      <w:r w:rsidRPr="00AF262D">
        <w:rPr>
          <w:rFonts w:asciiTheme="minorHAnsi" w:hAnsiTheme="minorHAnsi"/>
          <w:sz w:val="24"/>
          <w:szCs w:val="24"/>
          <w:lang w:val="fr-FR"/>
        </w:rPr>
        <w:t>Des phénomènes d'excitation paradoxale ont été rapportés chez les enfants</w:t>
      </w:r>
      <w:r w:rsidR="0097685B">
        <w:rPr>
          <w:rFonts w:asciiTheme="minorHAnsi" w:hAnsiTheme="minorHAnsi"/>
          <w:sz w:val="24"/>
          <w:szCs w:val="24"/>
          <w:lang w:val="fr-FR"/>
        </w:rPr>
        <w:t>.</w:t>
      </w:r>
    </w:p>
    <w:p w:rsidR="00666CC1" w:rsidRPr="00AF262D" w:rsidRDefault="00666CC1" w:rsidP="00AF262D">
      <w:pPr>
        <w:pStyle w:val="EMEAEnBodyText"/>
        <w:autoSpaceDE w:val="0"/>
        <w:autoSpaceDN w:val="0"/>
        <w:adjustRightInd w:val="0"/>
        <w:spacing w:before="0" w:after="0"/>
        <w:ind w:left="567"/>
        <w:rPr>
          <w:rFonts w:asciiTheme="minorHAnsi" w:hAnsiTheme="minorHAnsi"/>
          <w:sz w:val="24"/>
          <w:szCs w:val="24"/>
          <w:lang w:val="fr-FR"/>
        </w:rPr>
      </w:pPr>
    </w:p>
    <w:p w:rsidR="005D4BF3" w:rsidRPr="006829C3" w:rsidRDefault="005D4BF3" w:rsidP="00AF262D">
      <w:pPr>
        <w:pStyle w:val="EMEAEnBodyText"/>
        <w:autoSpaceDE w:val="0"/>
        <w:autoSpaceDN w:val="0"/>
        <w:adjustRightInd w:val="0"/>
        <w:spacing w:before="0" w:after="0"/>
        <w:ind w:left="567"/>
        <w:rPr>
          <w:rFonts w:asciiTheme="minorHAnsi" w:hAnsiTheme="minorHAnsi"/>
          <w:sz w:val="24"/>
          <w:szCs w:val="24"/>
          <w:lang w:val="fr-FR"/>
        </w:rPr>
      </w:pPr>
    </w:p>
    <w:p w:rsidR="00282B8D" w:rsidRPr="006829C3" w:rsidRDefault="00282B8D" w:rsidP="00282B8D">
      <w:pPr>
        <w:suppressAutoHyphens/>
        <w:ind w:left="567" w:hanging="567"/>
        <w:rPr>
          <w:rFonts w:asciiTheme="minorHAnsi" w:hAnsiTheme="minorHAnsi"/>
          <w:b/>
          <w:sz w:val="24"/>
          <w:szCs w:val="24"/>
        </w:rPr>
      </w:pPr>
      <w:r w:rsidRPr="006829C3">
        <w:rPr>
          <w:rFonts w:asciiTheme="minorHAnsi" w:hAnsiTheme="minorHAnsi"/>
          <w:b/>
          <w:sz w:val="24"/>
          <w:szCs w:val="24"/>
        </w:rPr>
        <w:t>4.9</w:t>
      </w:r>
      <w:r w:rsidRPr="006829C3">
        <w:rPr>
          <w:rFonts w:asciiTheme="minorHAnsi" w:hAnsiTheme="minorHAnsi"/>
          <w:b/>
          <w:sz w:val="24"/>
          <w:szCs w:val="24"/>
        </w:rPr>
        <w:tab/>
        <w:t>Surdosage</w:t>
      </w:r>
    </w:p>
    <w:p w:rsidR="00282B8D" w:rsidRDefault="00282B8D" w:rsidP="00666CC1">
      <w:pPr>
        <w:pStyle w:val="EMEAEnBodyText"/>
        <w:autoSpaceDE w:val="0"/>
        <w:autoSpaceDN w:val="0"/>
        <w:adjustRightInd w:val="0"/>
        <w:spacing w:before="0" w:after="0"/>
        <w:ind w:left="567"/>
        <w:rPr>
          <w:rFonts w:asciiTheme="minorHAnsi" w:hAnsiTheme="minorHAnsi"/>
          <w:sz w:val="24"/>
          <w:szCs w:val="24"/>
          <w:lang w:val="fr-FR"/>
        </w:rPr>
      </w:pPr>
    </w:p>
    <w:p w:rsidR="003A6963" w:rsidRPr="003A6963" w:rsidRDefault="003A6963" w:rsidP="00666CC1">
      <w:pPr>
        <w:pStyle w:val="EMEAEnBodyText"/>
        <w:autoSpaceDE w:val="0"/>
        <w:autoSpaceDN w:val="0"/>
        <w:adjustRightInd w:val="0"/>
        <w:spacing w:before="0" w:after="0"/>
        <w:ind w:left="567"/>
        <w:rPr>
          <w:rFonts w:asciiTheme="minorHAnsi" w:hAnsiTheme="minorHAnsi"/>
          <w:sz w:val="24"/>
          <w:szCs w:val="24"/>
          <w:lang w:val="fr-FR"/>
        </w:rPr>
      </w:pPr>
      <w:r w:rsidRPr="003A6963">
        <w:rPr>
          <w:rFonts w:asciiTheme="minorHAnsi" w:hAnsiTheme="minorHAnsi"/>
          <w:sz w:val="24"/>
          <w:szCs w:val="24"/>
          <w:lang w:val="fr-FR"/>
        </w:rPr>
        <w:t xml:space="preserve">Un surdosage nécessite </w:t>
      </w:r>
      <w:r w:rsidR="003042F5">
        <w:rPr>
          <w:rFonts w:asciiTheme="minorHAnsi" w:hAnsiTheme="minorHAnsi"/>
          <w:sz w:val="24"/>
          <w:szCs w:val="24"/>
          <w:lang w:val="fr-FR"/>
        </w:rPr>
        <w:t>u</w:t>
      </w:r>
      <w:r w:rsidRPr="003A6963">
        <w:rPr>
          <w:rFonts w:asciiTheme="minorHAnsi" w:hAnsiTheme="minorHAnsi"/>
          <w:sz w:val="24"/>
          <w:szCs w:val="24"/>
          <w:lang w:val="fr-FR"/>
        </w:rPr>
        <w:t xml:space="preserve">n transfert immédiat en milieu hospitalier et </w:t>
      </w:r>
      <w:r w:rsidR="003042F5">
        <w:rPr>
          <w:rFonts w:asciiTheme="minorHAnsi" w:hAnsiTheme="minorHAnsi"/>
          <w:sz w:val="24"/>
          <w:szCs w:val="24"/>
          <w:lang w:val="fr-FR"/>
        </w:rPr>
        <w:t xml:space="preserve">le </w:t>
      </w:r>
      <w:r w:rsidRPr="003A6963">
        <w:rPr>
          <w:rFonts w:asciiTheme="minorHAnsi" w:hAnsiTheme="minorHAnsi"/>
          <w:sz w:val="24"/>
          <w:szCs w:val="24"/>
          <w:lang w:val="fr-FR"/>
        </w:rPr>
        <w:t>traitement visera les symptômes provoqué</w:t>
      </w:r>
      <w:r w:rsidR="003042F5">
        <w:rPr>
          <w:rFonts w:asciiTheme="minorHAnsi" w:hAnsiTheme="minorHAnsi"/>
          <w:sz w:val="24"/>
          <w:szCs w:val="24"/>
          <w:lang w:val="fr-FR"/>
        </w:rPr>
        <w:t>s</w:t>
      </w:r>
      <w:r w:rsidRPr="003A6963">
        <w:rPr>
          <w:rFonts w:asciiTheme="minorHAnsi" w:hAnsiTheme="minorHAnsi"/>
          <w:sz w:val="24"/>
          <w:szCs w:val="24"/>
          <w:lang w:val="fr-FR"/>
        </w:rPr>
        <w:t xml:space="preserve"> par </w:t>
      </w:r>
      <w:r w:rsidR="003042F5">
        <w:rPr>
          <w:rFonts w:asciiTheme="minorHAnsi" w:hAnsiTheme="minorHAnsi"/>
          <w:sz w:val="24"/>
          <w:szCs w:val="24"/>
          <w:lang w:val="fr-FR"/>
        </w:rPr>
        <w:t xml:space="preserve">les </w:t>
      </w:r>
      <w:r w:rsidRPr="003A6963">
        <w:rPr>
          <w:rFonts w:asciiTheme="minorHAnsi" w:hAnsiTheme="minorHAnsi"/>
          <w:sz w:val="24"/>
          <w:szCs w:val="24"/>
          <w:lang w:val="fr-FR"/>
        </w:rPr>
        <w:t>3 composants</w:t>
      </w:r>
      <w:r w:rsidR="003042F5" w:rsidRPr="003042F5">
        <w:rPr>
          <w:rFonts w:asciiTheme="minorHAnsi" w:hAnsiTheme="minorHAnsi"/>
          <w:sz w:val="24"/>
          <w:szCs w:val="24"/>
          <w:lang w:val="fr-FR"/>
        </w:rPr>
        <w:t xml:space="preserve"> </w:t>
      </w:r>
      <w:r w:rsidR="003042F5">
        <w:rPr>
          <w:rFonts w:asciiTheme="minorHAnsi" w:hAnsiTheme="minorHAnsi"/>
          <w:sz w:val="24"/>
          <w:szCs w:val="24"/>
          <w:lang w:val="fr-FR"/>
        </w:rPr>
        <w:t xml:space="preserve">de </w:t>
      </w:r>
      <w:proofErr w:type="spellStart"/>
      <w:r w:rsidR="003042F5" w:rsidRPr="003A6963">
        <w:rPr>
          <w:rFonts w:asciiTheme="minorHAnsi" w:hAnsiTheme="minorHAnsi"/>
          <w:sz w:val="24"/>
          <w:szCs w:val="24"/>
          <w:lang w:val="fr-FR"/>
        </w:rPr>
        <w:t>Rhino</w:t>
      </w:r>
      <w:r w:rsidR="00D27128">
        <w:rPr>
          <w:rFonts w:asciiTheme="minorHAnsi" w:hAnsiTheme="minorHAnsi"/>
          <w:sz w:val="24"/>
          <w:szCs w:val="24"/>
          <w:lang w:val="fr-FR"/>
        </w:rPr>
        <w:t>P</w:t>
      </w:r>
      <w:r w:rsidR="003042F5" w:rsidRPr="003A6963">
        <w:rPr>
          <w:rFonts w:asciiTheme="minorHAnsi" w:hAnsiTheme="minorHAnsi"/>
          <w:sz w:val="24"/>
          <w:szCs w:val="24"/>
          <w:lang w:val="fr-FR"/>
        </w:rPr>
        <w:t>arol</w:t>
      </w:r>
      <w:proofErr w:type="spellEnd"/>
      <w:r w:rsidRPr="003A6963">
        <w:rPr>
          <w:rFonts w:asciiTheme="minorHAnsi" w:hAnsiTheme="minorHAnsi"/>
          <w:sz w:val="24"/>
          <w:szCs w:val="24"/>
          <w:lang w:val="fr-FR"/>
        </w:rPr>
        <w:t xml:space="preserve">: </w:t>
      </w:r>
      <w:r w:rsidR="00D27128" w:rsidRPr="003A6963">
        <w:rPr>
          <w:rFonts w:asciiTheme="minorHAnsi" w:hAnsiTheme="minorHAnsi"/>
          <w:sz w:val="24"/>
          <w:szCs w:val="24"/>
          <w:lang w:val="fr-FR"/>
        </w:rPr>
        <w:t>le paracétamol</w:t>
      </w:r>
      <w:r w:rsidR="00D27128">
        <w:rPr>
          <w:rFonts w:asciiTheme="minorHAnsi" w:hAnsiTheme="minorHAnsi"/>
          <w:sz w:val="24"/>
          <w:szCs w:val="24"/>
          <w:lang w:val="fr-FR"/>
        </w:rPr>
        <w:t>,</w:t>
      </w:r>
      <w:r w:rsidR="00D27128" w:rsidRPr="003A6963">
        <w:rPr>
          <w:rFonts w:asciiTheme="minorHAnsi" w:hAnsiTheme="minorHAnsi"/>
          <w:sz w:val="24"/>
          <w:szCs w:val="24"/>
          <w:lang w:val="fr-FR"/>
        </w:rPr>
        <w:t xml:space="preserve"> la </w:t>
      </w:r>
      <w:proofErr w:type="spellStart"/>
      <w:r w:rsidR="00D27128" w:rsidRPr="003A6963">
        <w:rPr>
          <w:rFonts w:asciiTheme="minorHAnsi" w:hAnsiTheme="minorHAnsi"/>
          <w:sz w:val="24"/>
          <w:szCs w:val="24"/>
          <w:lang w:val="fr-FR"/>
        </w:rPr>
        <w:t>ph</w:t>
      </w:r>
      <w:r w:rsidR="00D27128">
        <w:rPr>
          <w:rFonts w:asciiTheme="minorHAnsi" w:hAnsiTheme="minorHAnsi"/>
          <w:sz w:val="24"/>
          <w:szCs w:val="24"/>
          <w:lang w:val="fr-FR"/>
        </w:rPr>
        <w:t>énylé</w:t>
      </w:r>
      <w:r w:rsidR="00D27128" w:rsidRPr="003A6963">
        <w:rPr>
          <w:rFonts w:asciiTheme="minorHAnsi" w:hAnsiTheme="minorHAnsi"/>
          <w:sz w:val="24"/>
          <w:szCs w:val="24"/>
          <w:lang w:val="fr-FR"/>
        </w:rPr>
        <w:t>phrine</w:t>
      </w:r>
      <w:proofErr w:type="spellEnd"/>
      <w:r w:rsidR="00D27128" w:rsidRPr="003A6963">
        <w:rPr>
          <w:rFonts w:asciiTheme="minorHAnsi" w:hAnsiTheme="minorHAnsi"/>
          <w:sz w:val="24"/>
          <w:szCs w:val="24"/>
          <w:lang w:val="fr-FR"/>
        </w:rPr>
        <w:t xml:space="preserve"> </w:t>
      </w:r>
      <w:r w:rsidR="00D27128">
        <w:rPr>
          <w:rFonts w:asciiTheme="minorHAnsi" w:hAnsiTheme="minorHAnsi"/>
          <w:sz w:val="24"/>
          <w:szCs w:val="24"/>
          <w:lang w:val="fr-FR"/>
        </w:rPr>
        <w:t xml:space="preserve">et </w:t>
      </w:r>
      <w:r w:rsidRPr="003A6963">
        <w:rPr>
          <w:rFonts w:asciiTheme="minorHAnsi" w:hAnsiTheme="minorHAnsi"/>
          <w:sz w:val="24"/>
          <w:szCs w:val="24"/>
          <w:lang w:val="fr-FR"/>
        </w:rPr>
        <w:t xml:space="preserve">la </w:t>
      </w:r>
      <w:proofErr w:type="spellStart"/>
      <w:r w:rsidRPr="003A6963">
        <w:rPr>
          <w:rFonts w:asciiTheme="minorHAnsi" w:hAnsiTheme="minorHAnsi"/>
          <w:sz w:val="24"/>
          <w:szCs w:val="24"/>
          <w:lang w:val="fr-FR"/>
        </w:rPr>
        <w:t>chlorphénamine</w:t>
      </w:r>
      <w:proofErr w:type="spellEnd"/>
      <w:r w:rsidR="00D27128">
        <w:rPr>
          <w:rFonts w:asciiTheme="minorHAnsi" w:hAnsiTheme="minorHAnsi"/>
          <w:sz w:val="24"/>
          <w:szCs w:val="24"/>
          <w:lang w:val="fr-FR"/>
        </w:rPr>
        <w:t>.</w:t>
      </w:r>
    </w:p>
    <w:p w:rsidR="003A6963" w:rsidRPr="006829C3" w:rsidRDefault="003A6963" w:rsidP="00666CC1">
      <w:pPr>
        <w:pStyle w:val="EMEAEnBodyText"/>
        <w:autoSpaceDE w:val="0"/>
        <w:autoSpaceDN w:val="0"/>
        <w:adjustRightInd w:val="0"/>
        <w:spacing w:before="0" w:after="0"/>
        <w:ind w:left="567"/>
        <w:rPr>
          <w:rFonts w:asciiTheme="minorHAnsi" w:hAnsiTheme="minorHAnsi"/>
          <w:sz w:val="24"/>
          <w:szCs w:val="24"/>
          <w:lang w:val="fr-FR"/>
        </w:rPr>
      </w:pPr>
    </w:p>
    <w:p w:rsidR="00D27128" w:rsidRPr="00D27128" w:rsidRDefault="00D27128" w:rsidP="00D27128">
      <w:pPr>
        <w:pStyle w:val="EMEAEnBodyText"/>
        <w:autoSpaceDE w:val="0"/>
        <w:autoSpaceDN w:val="0"/>
        <w:adjustRightInd w:val="0"/>
        <w:spacing w:before="0" w:after="0"/>
        <w:ind w:left="567"/>
        <w:rPr>
          <w:rFonts w:asciiTheme="minorHAnsi" w:hAnsiTheme="minorHAnsi"/>
          <w:b/>
          <w:i/>
          <w:sz w:val="24"/>
          <w:szCs w:val="24"/>
          <w:lang w:val="fr-FR"/>
        </w:rPr>
      </w:pPr>
      <w:r w:rsidRPr="00D27128">
        <w:rPr>
          <w:rFonts w:asciiTheme="minorHAnsi" w:hAnsiTheme="minorHAnsi"/>
          <w:b/>
          <w:i/>
          <w:sz w:val="24"/>
          <w:szCs w:val="24"/>
          <w:lang w:val="fr-FR"/>
        </w:rPr>
        <w:t>Surdosage lié au paracétamol</w:t>
      </w:r>
    </w:p>
    <w:p w:rsidR="00D27128" w:rsidRPr="00D27128" w:rsidRDefault="00D27128" w:rsidP="00D27128">
      <w:pPr>
        <w:pStyle w:val="EMEAEnBodyText"/>
        <w:autoSpaceDE w:val="0"/>
        <w:autoSpaceDN w:val="0"/>
        <w:adjustRightInd w:val="0"/>
        <w:spacing w:before="0" w:after="0"/>
        <w:ind w:left="567"/>
        <w:rPr>
          <w:rFonts w:asciiTheme="minorHAnsi" w:hAnsiTheme="minorHAnsi"/>
          <w:i/>
          <w:lang w:val="fr-FR"/>
        </w:rPr>
      </w:pPr>
    </w:p>
    <w:p w:rsidR="00D27128" w:rsidRPr="00D27128" w:rsidRDefault="00D27128" w:rsidP="00D27128">
      <w:pPr>
        <w:pStyle w:val="EMEAEnBodyText"/>
        <w:numPr>
          <w:ilvl w:val="0"/>
          <w:numId w:val="14"/>
        </w:numPr>
        <w:autoSpaceDE w:val="0"/>
        <w:autoSpaceDN w:val="0"/>
        <w:adjustRightInd w:val="0"/>
        <w:spacing w:before="0" w:after="0"/>
        <w:ind w:left="993"/>
        <w:rPr>
          <w:rFonts w:asciiTheme="minorHAnsi" w:hAnsiTheme="minorHAnsi"/>
          <w:sz w:val="24"/>
          <w:szCs w:val="24"/>
          <w:lang w:val="fr-FR"/>
        </w:rPr>
      </w:pPr>
      <w:r w:rsidRPr="00D27128">
        <w:rPr>
          <w:rFonts w:asciiTheme="minorHAnsi" w:hAnsiTheme="minorHAnsi"/>
          <w:sz w:val="24"/>
          <w:szCs w:val="24"/>
          <w:lang w:val="fr-FR"/>
        </w:rPr>
        <w:t>Les symptômes d’une intoxication au paracétamol sont les nausées, les vomissements, l’anorexie, la pâleur et les douleurs abdominales. Ces symptômes apparaissent généralement dans les 24 heures suivant le surdosage du médicament.</w:t>
      </w:r>
    </w:p>
    <w:p w:rsidR="00D27128" w:rsidRPr="00D27128" w:rsidRDefault="00D27128" w:rsidP="00D27128">
      <w:pPr>
        <w:pStyle w:val="EMEAEnBodyText"/>
        <w:numPr>
          <w:ilvl w:val="0"/>
          <w:numId w:val="14"/>
        </w:numPr>
        <w:autoSpaceDE w:val="0"/>
        <w:autoSpaceDN w:val="0"/>
        <w:adjustRightInd w:val="0"/>
        <w:spacing w:before="0" w:after="0"/>
        <w:ind w:left="993"/>
        <w:rPr>
          <w:rFonts w:asciiTheme="minorHAnsi" w:hAnsiTheme="minorHAnsi"/>
          <w:sz w:val="24"/>
          <w:szCs w:val="24"/>
          <w:lang w:val="fr-FR"/>
        </w:rPr>
      </w:pPr>
      <w:r w:rsidRPr="00D27128">
        <w:rPr>
          <w:rFonts w:asciiTheme="minorHAnsi" w:hAnsiTheme="minorHAnsi"/>
          <w:sz w:val="24"/>
          <w:szCs w:val="24"/>
          <w:lang w:val="fr-FR"/>
        </w:rPr>
        <w:t xml:space="preserve">Un surdosage en paracétamol de 10 g ou plus en une seule prise chez les adultes, ou de 150 mg/kg de poids corporel en une seule prise chez les enfants entraîne une cytolyse hépatique susceptible d’aboutir à une nécrose complète et irréversible se traduisant par une insuffisance hépatocellulaire, une acidose métabolique et une encéphalopathie, pouvant entraîner le coma ou le décès. </w:t>
      </w:r>
    </w:p>
    <w:p w:rsidR="00D27128" w:rsidRPr="00D27128" w:rsidRDefault="00D27128" w:rsidP="00D27128">
      <w:pPr>
        <w:pStyle w:val="EMEAEnBodyText"/>
        <w:numPr>
          <w:ilvl w:val="0"/>
          <w:numId w:val="14"/>
        </w:numPr>
        <w:autoSpaceDE w:val="0"/>
        <w:autoSpaceDN w:val="0"/>
        <w:adjustRightInd w:val="0"/>
        <w:spacing w:before="0" w:after="0"/>
        <w:ind w:left="993"/>
        <w:rPr>
          <w:rFonts w:asciiTheme="minorHAnsi" w:hAnsiTheme="minorHAnsi"/>
          <w:sz w:val="24"/>
          <w:szCs w:val="24"/>
          <w:lang w:val="fr-FR"/>
        </w:rPr>
      </w:pPr>
      <w:r w:rsidRPr="00D27128">
        <w:rPr>
          <w:rFonts w:asciiTheme="minorHAnsi" w:hAnsiTheme="minorHAnsi"/>
          <w:sz w:val="24"/>
          <w:szCs w:val="24"/>
          <w:lang w:val="fr-FR"/>
        </w:rPr>
        <w:t xml:space="preserve">Dans le même temps, on a observé une augmentation des taux de transaminases hépatiques (ASAT, ALAT), de déshydrogénase lactique et de bilirubine, accompagnée d’une diminution des taux de prothrombine pouvant se produire 12 à 48 heures après l’administration. </w:t>
      </w:r>
    </w:p>
    <w:p w:rsidR="00D27128" w:rsidRPr="00D27128" w:rsidRDefault="00D27128" w:rsidP="00D27128">
      <w:pPr>
        <w:pStyle w:val="EMEAEnBodyText"/>
        <w:numPr>
          <w:ilvl w:val="0"/>
          <w:numId w:val="14"/>
        </w:numPr>
        <w:autoSpaceDE w:val="0"/>
        <w:autoSpaceDN w:val="0"/>
        <w:adjustRightInd w:val="0"/>
        <w:spacing w:before="0" w:after="0"/>
        <w:ind w:left="993"/>
        <w:rPr>
          <w:rFonts w:asciiTheme="minorHAnsi" w:hAnsiTheme="minorHAnsi"/>
          <w:sz w:val="24"/>
          <w:szCs w:val="24"/>
          <w:lang w:val="fr-FR"/>
        </w:rPr>
      </w:pPr>
      <w:r w:rsidRPr="00D27128">
        <w:rPr>
          <w:rFonts w:asciiTheme="minorHAnsi" w:hAnsiTheme="minorHAnsi"/>
          <w:sz w:val="24"/>
          <w:szCs w:val="24"/>
          <w:lang w:val="fr-FR"/>
        </w:rPr>
        <w:t xml:space="preserve">Les signes cliniques de lésions hépatiques apparaissent généralement après deux jours et atteignent leur paroxysme après 4 à 6 jours. Même en l’absence de lésions hépatiques sévères, une insuffisance rénale aiguë accompagnée d’une nécrose tubulaire aiguë peut apparaître. </w:t>
      </w:r>
    </w:p>
    <w:p w:rsidR="00D27128" w:rsidRPr="00D27128" w:rsidRDefault="00D27128" w:rsidP="00D27128">
      <w:pPr>
        <w:pStyle w:val="EMEAEnBodyText"/>
        <w:numPr>
          <w:ilvl w:val="0"/>
          <w:numId w:val="14"/>
        </w:numPr>
        <w:autoSpaceDE w:val="0"/>
        <w:autoSpaceDN w:val="0"/>
        <w:adjustRightInd w:val="0"/>
        <w:spacing w:before="0" w:after="0"/>
        <w:ind w:left="993"/>
        <w:rPr>
          <w:rFonts w:asciiTheme="minorHAnsi" w:hAnsiTheme="minorHAnsi"/>
          <w:sz w:val="24"/>
          <w:szCs w:val="24"/>
          <w:lang w:val="fr-FR"/>
        </w:rPr>
      </w:pPr>
      <w:r w:rsidRPr="00D27128">
        <w:rPr>
          <w:rFonts w:asciiTheme="minorHAnsi" w:hAnsiTheme="minorHAnsi"/>
          <w:sz w:val="24"/>
          <w:szCs w:val="24"/>
          <w:lang w:val="fr-FR"/>
        </w:rPr>
        <w:t xml:space="preserve">Les autres symptômes non hépatiques d’un surdosage en paracétamol peuvent être des altérations du myocarde et une pancréatite. </w:t>
      </w:r>
    </w:p>
    <w:p w:rsidR="00D27128" w:rsidRPr="00D27128" w:rsidRDefault="00D27128" w:rsidP="00D27128">
      <w:pPr>
        <w:pStyle w:val="EMEAEnBodyText"/>
        <w:autoSpaceDE w:val="0"/>
        <w:autoSpaceDN w:val="0"/>
        <w:adjustRightInd w:val="0"/>
        <w:spacing w:before="0" w:after="0"/>
        <w:ind w:left="993"/>
        <w:rPr>
          <w:rFonts w:asciiTheme="minorHAnsi" w:hAnsiTheme="minorHAnsi"/>
          <w:sz w:val="24"/>
          <w:szCs w:val="24"/>
          <w:lang w:val="fr-FR"/>
        </w:rPr>
      </w:pPr>
    </w:p>
    <w:p w:rsidR="00D27128" w:rsidRPr="00D27128" w:rsidRDefault="00D27128" w:rsidP="00D27128">
      <w:pPr>
        <w:pStyle w:val="EMEAEnBodyText"/>
        <w:autoSpaceDE w:val="0"/>
        <w:autoSpaceDN w:val="0"/>
        <w:adjustRightInd w:val="0"/>
        <w:spacing w:before="0" w:after="0"/>
        <w:ind w:left="633"/>
        <w:rPr>
          <w:rFonts w:asciiTheme="minorHAnsi" w:hAnsiTheme="minorHAnsi"/>
          <w:b/>
          <w:sz w:val="24"/>
          <w:szCs w:val="24"/>
          <w:u w:val="single"/>
          <w:lang w:val="fr-FR"/>
        </w:rPr>
      </w:pPr>
      <w:r w:rsidRPr="00D27128">
        <w:rPr>
          <w:rFonts w:asciiTheme="minorHAnsi" w:hAnsiTheme="minorHAnsi"/>
          <w:b/>
          <w:sz w:val="24"/>
          <w:szCs w:val="24"/>
          <w:u w:val="single"/>
          <w:lang w:val="fr-FR"/>
        </w:rPr>
        <w:t>Traitement d’urgence du surdosage au paracétamol</w:t>
      </w:r>
    </w:p>
    <w:p w:rsidR="00D27128" w:rsidRPr="00D27128" w:rsidRDefault="00D27128" w:rsidP="00D27128">
      <w:pPr>
        <w:pStyle w:val="EMEAEnBodyText"/>
        <w:autoSpaceDE w:val="0"/>
        <w:autoSpaceDN w:val="0"/>
        <w:adjustRightInd w:val="0"/>
        <w:spacing w:before="0" w:after="0"/>
        <w:ind w:left="633"/>
        <w:rPr>
          <w:rFonts w:asciiTheme="minorHAnsi" w:hAnsiTheme="minorHAnsi"/>
          <w:sz w:val="24"/>
          <w:szCs w:val="24"/>
          <w:lang w:val="fr-FR"/>
        </w:rPr>
      </w:pPr>
    </w:p>
    <w:p w:rsidR="00D27128" w:rsidRPr="00D27128" w:rsidRDefault="00D27128" w:rsidP="00D27128">
      <w:pPr>
        <w:pStyle w:val="EMEAEnBodyText"/>
        <w:numPr>
          <w:ilvl w:val="0"/>
          <w:numId w:val="14"/>
        </w:numPr>
        <w:autoSpaceDE w:val="0"/>
        <w:autoSpaceDN w:val="0"/>
        <w:adjustRightInd w:val="0"/>
        <w:spacing w:before="0" w:after="0"/>
        <w:ind w:left="993"/>
        <w:rPr>
          <w:rFonts w:asciiTheme="minorHAnsi" w:hAnsiTheme="minorHAnsi"/>
          <w:sz w:val="24"/>
          <w:szCs w:val="24"/>
          <w:lang w:val="fr-FR"/>
        </w:rPr>
      </w:pPr>
      <w:r w:rsidRPr="00D27128">
        <w:rPr>
          <w:rFonts w:asciiTheme="minorHAnsi" w:hAnsiTheme="minorHAnsi"/>
          <w:sz w:val="24"/>
          <w:szCs w:val="24"/>
          <w:lang w:val="fr-FR"/>
        </w:rPr>
        <w:t>Hospitalisation immédiate.</w:t>
      </w:r>
    </w:p>
    <w:p w:rsidR="00D27128" w:rsidRPr="00D27128" w:rsidRDefault="00D27128" w:rsidP="00D27128">
      <w:pPr>
        <w:pStyle w:val="EMEAEnBodyText"/>
        <w:numPr>
          <w:ilvl w:val="0"/>
          <w:numId w:val="14"/>
        </w:numPr>
        <w:autoSpaceDE w:val="0"/>
        <w:autoSpaceDN w:val="0"/>
        <w:adjustRightInd w:val="0"/>
        <w:spacing w:before="0" w:after="0"/>
        <w:ind w:left="993"/>
        <w:rPr>
          <w:rFonts w:asciiTheme="minorHAnsi" w:hAnsiTheme="minorHAnsi"/>
          <w:sz w:val="24"/>
          <w:szCs w:val="24"/>
          <w:lang w:val="fr-FR"/>
        </w:rPr>
      </w:pPr>
      <w:r w:rsidRPr="00D27128">
        <w:rPr>
          <w:rFonts w:asciiTheme="minorHAnsi" w:hAnsiTheme="minorHAnsi"/>
          <w:sz w:val="24"/>
          <w:szCs w:val="24"/>
          <w:lang w:val="fr-FR"/>
        </w:rPr>
        <w:t>Après un surdosage, il faut effectuer un prélèvement sanguin pour déterminer le taux de paracétamol dès que possible, avant le début du traitement.</w:t>
      </w:r>
    </w:p>
    <w:p w:rsidR="00D27128" w:rsidRPr="00D27128" w:rsidRDefault="00D27128" w:rsidP="00D27128">
      <w:pPr>
        <w:pStyle w:val="EMEAEnBodyText"/>
        <w:numPr>
          <w:ilvl w:val="0"/>
          <w:numId w:val="14"/>
        </w:numPr>
        <w:autoSpaceDE w:val="0"/>
        <w:autoSpaceDN w:val="0"/>
        <w:adjustRightInd w:val="0"/>
        <w:spacing w:before="0" w:after="0"/>
        <w:ind w:left="993"/>
        <w:rPr>
          <w:rFonts w:asciiTheme="minorHAnsi" w:hAnsiTheme="minorHAnsi"/>
          <w:sz w:val="24"/>
          <w:szCs w:val="24"/>
          <w:lang w:val="fr-FR"/>
        </w:rPr>
      </w:pPr>
      <w:r w:rsidRPr="00D27128">
        <w:rPr>
          <w:rFonts w:asciiTheme="minorHAnsi" w:hAnsiTheme="minorHAnsi"/>
          <w:sz w:val="24"/>
          <w:szCs w:val="24"/>
          <w:lang w:val="fr-FR"/>
        </w:rPr>
        <w:t>Evacuation rapide du produit ingéré par un lavage gastrique, puis administration de charbon actif (adsorbant) et de sulfate de sodium (laxatif).</w:t>
      </w:r>
    </w:p>
    <w:p w:rsidR="00D27128" w:rsidRPr="00D27128" w:rsidRDefault="00D27128" w:rsidP="00D27128">
      <w:pPr>
        <w:pStyle w:val="EMEAEnBodyText"/>
        <w:numPr>
          <w:ilvl w:val="0"/>
          <w:numId w:val="14"/>
        </w:numPr>
        <w:autoSpaceDE w:val="0"/>
        <w:autoSpaceDN w:val="0"/>
        <w:adjustRightInd w:val="0"/>
        <w:spacing w:before="0" w:after="0"/>
        <w:ind w:left="993"/>
        <w:rPr>
          <w:rFonts w:asciiTheme="minorHAnsi" w:hAnsiTheme="minorHAnsi"/>
          <w:sz w:val="24"/>
          <w:szCs w:val="24"/>
          <w:lang w:val="fr-FR"/>
        </w:rPr>
      </w:pPr>
      <w:r w:rsidRPr="00D27128">
        <w:rPr>
          <w:rFonts w:asciiTheme="minorHAnsi" w:hAnsiTheme="minorHAnsi"/>
          <w:sz w:val="24"/>
          <w:szCs w:val="24"/>
          <w:lang w:val="fr-FR"/>
        </w:rPr>
        <w:lastRenderedPageBreak/>
        <w:t>Une dialyse peut réduire la concentration plasmatique du paracétamol.</w:t>
      </w:r>
    </w:p>
    <w:p w:rsidR="00D27128" w:rsidRPr="00D27128" w:rsidRDefault="00D27128" w:rsidP="00D27128">
      <w:pPr>
        <w:pStyle w:val="EMEAEnBodyText"/>
        <w:numPr>
          <w:ilvl w:val="0"/>
          <w:numId w:val="14"/>
        </w:numPr>
        <w:autoSpaceDE w:val="0"/>
        <w:autoSpaceDN w:val="0"/>
        <w:adjustRightInd w:val="0"/>
        <w:spacing w:before="0" w:after="0"/>
        <w:ind w:left="993"/>
        <w:rPr>
          <w:rFonts w:asciiTheme="minorHAnsi" w:hAnsiTheme="minorHAnsi"/>
          <w:sz w:val="24"/>
          <w:szCs w:val="24"/>
          <w:lang w:val="fr-FR"/>
        </w:rPr>
      </w:pPr>
      <w:r w:rsidRPr="00D27128">
        <w:rPr>
          <w:rFonts w:asciiTheme="minorHAnsi" w:hAnsiTheme="minorHAnsi"/>
          <w:sz w:val="24"/>
          <w:szCs w:val="24"/>
          <w:lang w:val="fr-FR"/>
        </w:rPr>
        <w:t>Le traitement consiste en l’administration de l’antidote N-acétylcystéine (NAC), par voie intraveineuse ou orale, si possible avant la dixième heure suivant la prise. La NAC peut même avoir un effet de protection après la dixième heure mais il faut alors donner un traitement prolongé.</w:t>
      </w:r>
    </w:p>
    <w:p w:rsidR="00D27128" w:rsidRPr="00D27128" w:rsidRDefault="00D27128" w:rsidP="00D27128">
      <w:pPr>
        <w:pStyle w:val="EMEAEnBodyText"/>
        <w:numPr>
          <w:ilvl w:val="0"/>
          <w:numId w:val="14"/>
        </w:numPr>
        <w:autoSpaceDE w:val="0"/>
        <w:autoSpaceDN w:val="0"/>
        <w:adjustRightInd w:val="0"/>
        <w:spacing w:before="0" w:after="0"/>
        <w:ind w:left="993"/>
        <w:rPr>
          <w:rFonts w:asciiTheme="minorHAnsi" w:hAnsiTheme="minorHAnsi"/>
          <w:sz w:val="24"/>
          <w:szCs w:val="24"/>
          <w:lang w:val="fr-FR"/>
        </w:rPr>
      </w:pPr>
      <w:r w:rsidRPr="00D27128">
        <w:rPr>
          <w:rFonts w:asciiTheme="minorHAnsi" w:hAnsiTheme="minorHAnsi"/>
          <w:sz w:val="24"/>
          <w:szCs w:val="24"/>
          <w:lang w:val="fr-FR"/>
        </w:rPr>
        <w:t>Traitement symptomatique.</w:t>
      </w:r>
    </w:p>
    <w:p w:rsidR="00D27128" w:rsidRPr="00D27128" w:rsidRDefault="00D27128" w:rsidP="00D27128">
      <w:pPr>
        <w:pStyle w:val="EMEAEnBodyText"/>
        <w:numPr>
          <w:ilvl w:val="0"/>
          <w:numId w:val="14"/>
        </w:numPr>
        <w:autoSpaceDE w:val="0"/>
        <w:autoSpaceDN w:val="0"/>
        <w:adjustRightInd w:val="0"/>
        <w:spacing w:before="0" w:after="0"/>
        <w:ind w:left="993"/>
        <w:rPr>
          <w:rFonts w:asciiTheme="minorHAnsi" w:hAnsiTheme="minorHAnsi"/>
          <w:sz w:val="24"/>
          <w:szCs w:val="24"/>
          <w:lang w:val="fr-FR"/>
        </w:rPr>
      </w:pPr>
      <w:r w:rsidRPr="00D27128">
        <w:rPr>
          <w:rFonts w:asciiTheme="minorHAnsi" w:hAnsiTheme="minorHAnsi"/>
          <w:sz w:val="24"/>
          <w:szCs w:val="24"/>
          <w:lang w:val="fr-FR"/>
        </w:rPr>
        <w:t>Des tests hépatiques doivent être effectués au début du traitement et répétés toutes les 24 heures. Dans la plupart des cas, les transaminases hépatiques reviendront à des taux normaux en une ou deux semaines, et la fonction hépatique sera entièrement rétablie. Cependant, dans de très rares cas, une transplantation hépatique peut être indiquée.</w:t>
      </w:r>
    </w:p>
    <w:p w:rsidR="00D27128" w:rsidRPr="00D27128" w:rsidRDefault="00D27128" w:rsidP="00D27128">
      <w:pPr>
        <w:pStyle w:val="EMEAEnBodyText"/>
        <w:autoSpaceDE w:val="0"/>
        <w:autoSpaceDN w:val="0"/>
        <w:adjustRightInd w:val="0"/>
        <w:spacing w:before="0" w:after="0"/>
        <w:ind w:left="567"/>
        <w:rPr>
          <w:rFonts w:asciiTheme="minorHAnsi" w:hAnsiTheme="minorHAnsi"/>
          <w:sz w:val="24"/>
          <w:szCs w:val="24"/>
          <w:lang w:val="fr-FR"/>
        </w:rPr>
      </w:pPr>
    </w:p>
    <w:p w:rsidR="00391C75" w:rsidRPr="00391C75" w:rsidRDefault="00391C75" w:rsidP="00391C75">
      <w:pPr>
        <w:pStyle w:val="EMEAEnBodyText"/>
        <w:autoSpaceDE w:val="0"/>
        <w:autoSpaceDN w:val="0"/>
        <w:adjustRightInd w:val="0"/>
        <w:spacing w:before="0" w:after="0"/>
        <w:ind w:left="567"/>
        <w:rPr>
          <w:rFonts w:asciiTheme="minorHAnsi" w:hAnsiTheme="minorHAnsi"/>
          <w:b/>
          <w:i/>
          <w:sz w:val="24"/>
          <w:szCs w:val="24"/>
          <w:lang w:val="fr-FR"/>
        </w:rPr>
      </w:pPr>
      <w:r w:rsidRPr="00391C75">
        <w:rPr>
          <w:rFonts w:asciiTheme="minorHAnsi" w:hAnsiTheme="minorHAnsi"/>
          <w:b/>
          <w:i/>
          <w:sz w:val="24"/>
          <w:szCs w:val="24"/>
          <w:lang w:val="fr-FR"/>
        </w:rPr>
        <w:t xml:space="preserve">Surdosage lié à la </w:t>
      </w:r>
      <w:proofErr w:type="spellStart"/>
      <w:r w:rsidRPr="00391C75">
        <w:rPr>
          <w:rFonts w:asciiTheme="minorHAnsi" w:hAnsiTheme="minorHAnsi"/>
          <w:b/>
          <w:i/>
          <w:sz w:val="24"/>
          <w:szCs w:val="24"/>
          <w:lang w:val="fr-FR"/>
        </w:rPr>
        <w:t>phényléphrine</w:t>
      </w:r>
      <w:proofErr w:type="spellEnd"/>
    </w:p>
    <w:p w:rsidR="00391C75" w:rsidRPr="003A6963" w:rsidRDefault="00391C75" w:rsidP="00391C75">
      <w:pPr>
        <w:pStyle w:val="EMEAEnBodyText"/>
        <w:autoSpaceDE w:val="0"/>
        <w:autoSpaceDN w:val="0"/>
        <w:adjustRightInd w:val="0"/>
        <w:spacing w:before="0" w:after="0"/>
        <w:ind w:left="567"/>
        <w:rPr>
          <w:rFonts w:asciiTheme="minorHAnsi" w:hAnsiTheme="minorHAnsi"/>
          <w:b/>
          <w:sz w:val="24"/>
          <w:szCs w:val="24"/>
          <w:lang w:val="fr-FR"/>
        </w:rPr>
      </w:pPr>
    </w:p>
    <w:p w:rsidR="00391C75" w:rsidRDefault="00391C75" w:rsidP="00391C75">
      <w:pPr>
        <w:pStyle w:val="EMEAEnBodyText"/>
        <w:numPr>
          <w:ilvl w:val="0"/>
          <w:numId w:val="13"/>
        </w:numPr>
        <w:autoSpaceDE w:val="0"/>
        <w:autoSpaceDN w:val="0"/>
        <w:adjustRightInd w:val="0"/>
        <w:spacing w:before="0" w:after="0"/>
        <w:rPr>
          <w:rFonts w:asciiTheme="minorHAnsi" w:hAnsiTheme="minorHAnsi"/>
          <w:sz w:val="24"/>
          <w:szCs w:val="24"/>
          <w:lang w:val="fr-FR"/>
        </w:rPr>
      </w:pPr>
      <w:r w:rsidRPr="00666CC1">
        <w:rPr>
          <w:rFonts w:asciiTheme="minorHAnsi" w:hAnsiTheme="minorHAnsi"/>
          <w:sz w:val="24"/>
          <w:szCs w:val="24"/>
          <w:lang w:val="fr-FR"/>
        </w:rPr>
        <w:t xml:space="preserve">Les intoxications aiguës dues à la </w:t>
      </w:r>
      <w:proofErr w:type="spellStart"/>
      <w:r w:rsidRPr="00666CC1">
        <w:rPr>
          <w:rFonts w:asciiTheme="minorHAnsi" w:hAnsiTheme="minorHAnsi"/>
          <w:sz w:val="24"/>
          <w:szCs w:val="24"/>
          <w:lang w:val="fr-FR"/>
        </w:rPr>
        <w:t>phényléphrine</w:t>
      </w:r>
      <w:proofErr w:type="spellEnd"/>
      <w:r w:rsidRPr="00666CC1">
        <w:rPr>
          <w:rFonts w:asciiTheme="minorHAnsi" w:hAnsiTheme="minorHAnsi"/>
          <w:sz w:val="24"/>
          <w:szCs w:val="24"/>
          <w:lang w:val="fr-FR"/>
        </w:rPr>
        <w:t xml:space="preserve"> sont caractérisées notamment par une hypertension, des palpitations, des troubles de la miction et de l’irritabilité. </w:t>
      </w:r>
    </w:p>
    <w:p w:rsidR="00391C75" w:rsidRPr="006829C3" w:rsidRDefault="00391C75" w:rsidP="00391C75">
      <w:pPr>
        <w:pStyle w:val="EMEAEnBodyText"/>
        <w:numPr>
          <w:ilvl w:val="0"/>
          <w:numId w:val="13"/>
        </w:numPr>
        <w:autoSpaceDE w:val="0"/>
        <w:autoSpaceDN w:val="0"/>
        <w:adjustRightInd w:val="0"/>
        <w:spacing w:before="0" w:after="0"/>
        <w:rPr>
          <w:rFonts w:asciiTheme="minorHAnsi" w:hAnsiTheme="minorHAnsi"/>
          <w:sz w:val="24"/>
          <w:szCs w:val="24"/>
          <w:lang w:val="fr-FR"/>
        </w:rPr>
      </w:pPr>
      <w:r>
        <w:rPr>
          <w:rFonts w:asciiTheme="minorHAnsi" w:hAnsiTheme="minorHAnsi"/>
          <w:sz w:val="24"/>
          <w:szCs w:val="24"/>
          <w:lang w:val="fr-FR"/>
        </w:rPr>
        <w:t xml:space="preserve">Traitement du surdosage par la </w:t>
      </w:r>
      <w:proofErr w:type="spellStart"/>
      <w:r>
        <w:rPr>
          <w:rFonts w:asciiTheme="minorHAnsi" w:hAnsiTheme="minorHAnsi"/>
          <w:sz w:val="24"/>
          <w:szCs w:val="24"/>
          <w:lang w:val="fr-FR"/>
        </w:rPr>
        <w:t>phényléphrine</w:t>
      </w:r>
      <w:proofErr w:type="spellEnd"/>
      <w:r>
        <w:rPr>
          <w:rFonts w:asciiTheme="minorHAnsi" w:hAnsiTheme="minorHAnsi"/>
          <w:sz w:val="24"/>
          <w:szCs w:val="24"/>
          <w:lang w:val="fr-FR"/>
        </w:rPr>
        <w:t> : il</w:t>
      </w:r>
      <w:r w:rsidRPr="00666CC1">
        <w:rPr>
          <w:rFonts w:asciiTheme="minorHAnsi" w:hAnsiTheme="minorHAnsi"/>
          <w:sz w:val="24"/>
          <w:szCs w:val="24"/>
          <w:lang w:val="fr-FR"/>
        </w:rPr>
        <w:t xml:space="preserve"> n’existe pas d’antidote spécifique. Le traitement est purement symptomatique</w:t>
      </w:r>
    </w:p>
    <w:p w:rsidR="00391C75" w:rsidRDefault="00391C75" w:rsidP="00391C75">
      <w:pPr>
        <w:pStyle w:val="EMEAEnBodyText"/>
        <w:autoSpaceDE w:val="0"/>
        <w:autoSpaceDN w:val="0"/>
        <w:adjustRightInd w:val="0"/>
        <w:spacing w:before="0" w:after="0"/>
        <w:ind w:left="567"/>
        <w:rPr>
          <w:rFonts w:asciiTheme="minorHAnsi" w:hAnsiTheme="minorHAnsi"/>
          <w:sz w:val="24"/>
          <w:szCs w:val="24"/>
          <w:lang w:val="fr-FR"/>
        </w:rPr>
      </w:pPr>
    </w:p>
    <w:p w:rsidR="00666CC1" w:rsidRPr="00391C75" w:rsidRDefault="003A6963" w:rsidP="00666CC1">
      <w:pPr>
        <w:pStyle w:val="EMEAEnBodyText"/>
        <w:autoSpaceDE w:val="0"/>
        <w:autoSpaceDN w:val="0"/>
        <w:adjustRightInd w:val="0"/>
        <w:spacing w:before="0" w:after="0"/>
        <w:ind w:left="567"/>
        <w:rPr>
          <w:rFonts w:asciiTheme="minorHAnsi" w:hAnsiTheme="minorHAnsi"/>
          <w:b/>
          <w:i/>
          <w:sz w:val="24"/>
          <w:szCs w:val="24"/>
          <w:lang w:val="fr-FR"/>
        </w:rPr>
      </w:pPr>
      <w:r w:rsidRPr="00391C75">
        <w:rPr>
          <w:rFonts w:asciiTheme="minorHAnsi" w:hAnsiTheme="minorHAnsi"/>
          <w:b/>
          <w:i/>
          <w:sz w:val="24"/>
          <w:szCs w:val="24"/>
          <w:lang w:val="fr-FR"/>
        </w:rPr>
        <w:t>Surdosage l</w:t>
      </w:r>
      <w:r w:rsidR="00666CC1" w:rsidRPr="00391C75">
        <w:rPr>
          <w:rFonts w:asciiTheme="minorHAnsi" w:hAnsiTheme="minorHAnsi"/>
          <w:b/>
          <w:i/>
          <w:sz w:val="24"/>
          <w:szCs w:val="24"/>
          <w:lang w:val="fr-FR"/>
        </w:rPr>
        <w:t>ié à la chlorphénamine</w:t>
      </w:r>
    </w:p>
    <w:p w:rsidR="003A6963" w:rsidRPr="00D27128" w:rsidRDefault="003A6963" w:rsidP="00666CC1">
      <w:pPr>
        <w:pStyle w:val="EMEAEnBodyText"/>
        <w:autoSpaceDE w:val="0"/>
        <w:autoSpaceDN w:val="0"/>
        <w:adjustRightInd w:val="0"/>
        <w:spacing w:before="0" w:after="0"/>
        <w:ind w:left="567"/>
        <w:rPr>
          <w:rFonts w:asciiTheme="minorHAnsi" w:hAnsiTheme="minorHAnsi"/>
          <w:b/>
          <w:sz w:val="24"/>
          <w:szCs w:val="24"/>
          <w:lang w:val="fr-FR"/>
        </w:rPr>
      </w:pPr>
    </w:p>
    <w:p w:rsidR="00666CC1" w:rsidRPr="00D27128" w:rsidRDefault="00B73A30" w:rsidP="003A6963">
      <w:pPr>
        <w:pStyle w:val="EMEAEnBodyText"/>
        <w:numPr>
          <w:ilvl w:val="0"/>
          <w:numId w:val="13"/>
        </w:numPr>
        <w:autoSpaceDE w:val="0"/>
        <w:autoSpaceDN w:val="0"/>
        <w:adjustRightInd w:val="0"/>
        <w:spacing w:before="0" w:after="0"/>
        <w:rPr>
          <w:rFonts w:asciiTheme="minorHAnsi" w:hAnsiTheme="minorHAnsi"/>
          <w:sz w:val="24"/>
          <w:szCs w:val="24"/>
          <w:lang w:val="fr-FR"/>
        </w:rPr>
      </w:pPr>
      <w:r w:rsidRPr="00D27128">
        <w:rPr>
          <w:rFonts w:asciiTheme="minorHAnsi" w:hAnsiTheme="minorHAnsi"/>
          <w:sz w:val="24"/>
          <w:szCs w:val="24"/>
          <w:lang w:val="fr-FR"/>
        </w:rPr>
        <w:t>Symptômes c</w:t>
      </w:r>
      <w:r w:rsidR="00666CC1" w:rsidRPr="00D27128">
        <w:rPr>
          <w:rFonts w:asciiTheme="minorHAnsi" w:hAnsiTheme="minorHAnsi"/>
          <w:sz w:val="24"/>
          <w:szCs w:val="24"/>
          <w:lang w:val="fr-FR"/>
        </w:rPr>
        <w:t xml:space="preserve">hez l'enfant: excitation avec agitation, hallucinations, ataxie, incoordination, athétose et convulsions. Ces </w:t>
      </w:r>
      <w:r w:rsidRPr="00D27128">
        <w:rPr>
          <w:rFonts w:asciiTheme="minorHAnsi" w:hAnsiTheme="minorHAnsi"/>
          <w:sz w:val="24"/>
          <w:szCs w:val="24"/>
          <w:lang w:val="fr-FR"/>
        </w:rPr>
        <w:t>symptômes</w:t>
      </w:r>
      <w:r w:rsidR="00666CC1" w:rsidRPr="00D27128">
        <w:rPr>
          <w:rFonts w:asciiTheme="minorHAnsi" w:hAnsiTheme="minorHAnsi"/>
          <w:sz w:val="24"/>
          <w:szCs w:val="24"/>
          <w:lang w:val="fr-FR"/>
        </w:rPr>
        <w:t xml:space="preserve"> surviennent par intermittence, tremblements et mouvements athétosiques peuvent en être le prodrome. Pupilles fixes et dilatées, rougeur des téguments (face) et hyperthermie sont des signes fréquents qui rappellent l'intoxication atropinique. La phase terminale s'accompagne d'un coma qui s'aggrave avec un collapsus cardio-respiratoire. La mort peut survenir dans un délai de 2 à 98 heures. </w:t>
      </w:r>
    </w:p>
    <w:p w:rsidR="00666CC1" w:rsidRPr="00D27128" w:rsidRDefault="00666CC1" w:rsidP="003A6963">
      <w:pPr>
        <w:pStyle w:val="EMEAEnBodyText"/>
        <w:numPr>
          <w:ilvl w:val="0"/>
          <w:numId w:val="13"/>
        </w:numPr>
        <w:autoSpaceDE w:val="0"/>
        <w:autoSpaceDN w:val="0"/>
        <w:adjustRightInd w:val="0"/>
        <w:spacing w:before="0" w:after="0"/>
        <w:rPr>
          <w:rFonts w:asciiTheme="minorHAnsi" w:hAnsiTheme="minorHAnsi"/>
          <w:sz w:val="24"/>
          <w:szCs w:val="24"/>
          <w:lang w:val="fr-FR"/>
        </w:rPr>
      </w:pPr>
      <w:r w:rsidRPr="00D27128">
        <w:rPr>
          <w:rFonts w:asciiTheme="minorHAnsi" w:hAnsiTheme="minorHAnsi"/>
          <w:sz w:val="24"/>
          <w:szCs w:val="24"/>
          <w:lang w:val="fr-FR"/>
        </w:rPr>
        <w:t>Chez l'adulte</w:t>
      </w:r>
      <w:r w:rsidR="00DD57A4" w:rsidRPr="00D27128">
        <w:rPr>
          <w:rFonts w:asciiTheme="minorHAnsi" w:hAnsiTheme="minorHAnsi"/>
          <w:sz w:val="24"/>
          <w:szCs w:val="24"/>
          <w:lang w:val="fr-FR"/>
        </w:rPr>
        <w:t>,</w:t>
      </w:r>
      <w:r w:rsidRPr="00D27128">
        <w:rPr>
          <w:rFonts w:asciiTheme="minorHAnsi" w:hAnsiTheme="minorHAnsi"/>
          <w:sz w:val="24"/>
          <w:szCs w:val="24"/>
          <w:lang w:val="fr-FR"/>
        </w:rPr>
        <w:t xml:space="preserve"> le tableau est différent: la dépression et le coma peuvent précéder la phase d'excitation et de convulsions. Fièvre et rougeur des téguments (le visage) sont plus rares. </w:t>
      </w:r>
    </w:p>
    <w:p w:rsidR="00282B8D" w:rsidRPr="00666CC1" w:rsidRDefault="00666CC1" w:rsidP="003A6963">
      <w:pPr>
        <w:pStyle w:val="EMEAEnBodyText"/>
        <w:numPr>
          <w:ilvl w:val="0"/>
          <w:numId w:val="13"/>
        </w:numPr>
        <w:autoSpaceDE w:val="0"/>
        <w:autoSpaceDN w:val="0"/>
        <w:adjustRightInd w:val="0"/>
        <w:spacing w:before="0" w:after="0"/>
        <w:rPr>
          <w:rFonts w:asciiTheme="minorHAnsi" w:hAnsiTheme="minorHAnsi"/>
          <w:sz w:val="24"/>
          <w:szCs w:val="24"/>
          <w:lang w:val="fr-FR"/>
        </w:rPr>
      </w:pPr>
      <w:r w:rsidRPr="00D27128">
        <w:rPr>
          <w:rFonts w:asciiTheme="minorHAnsi" w:hAnsiTheme="minorHAnsi"/>
          <w:sz w:val="24"/>
          <w:szCs w:val="24"/>
          <w:lang w:val="fr-FR"/>
        </w:rPr>
        <w:t>Traitement du surdosage par la chlorph</w:t>
      </w:r>
      <w:r w:rsidR="003A6963" w:rsidRPr="00D27128">
        <w:rPr>
          <w:rFonts w:asciiTheme="minorHAnsi" w:hAnsiTheme="minorHAnsi"/>
          <w:sz w:val="24"/>
          <w:szCs w:val="24"/>
          <w:lang w:val="fr-FR"/>
        </w:rPr>
        <w:t>é</w:t>
      </w:r>
      <w:r w:rsidRPr="00D27128">
        <w:rPr>
          <w:rFonts w:asciiTheme="minorHAnsi" w:hAnsiTheme="minorHAnsi"/>
          <w:sz w:val="24"/>
          <w:szCs w:val="24"/>
          <w:lang w:val="fr-FR"/>
        </w:rPr>
        <w:t>namine: traitement symptomatique avec éventuellement respiration assistée et anticonvulsivant. (Injecter du diazépam en I.V. lente: 0,1 à 0,2 mg/kg; l'injection peut être renouvelée jusqu'à 4 fois par 24 heures).</w:t>
      </w:r>
    </w:p>
    <w:p w:rsidR="00666CC1" w:rsidRDefault="00666CC1" w:rsidP="00666CC1">
      <w:pPr>
        <w:pStyle w:val="EMEAEnBodyText"/>
        <w:autoSpaceDE w:val="0"/>
        <w:autoSpaceDN w:val="0"/>
        <w:adjustRightInd w:val="0"/>
        <w:spacing w:before="0" w:after="0"/>
        <w:ind w:left="567"/>
        <w:rPr>
          <w:rFonts w:asciiTheme="minorHAnsi" w:hAnsiTheme="minorHAnsi"/>
          <w:sz w:val="24"/>
          <w:szCs w:val="24"/>
          <w:lang w:val="fr-FR"/>
        </w:rPr>
      </w:pPr>
    </w:p>
    <w:p w:rsidR="00282B8D" w:rsidRPr="006829C3" w:rsidRDefault="00461068" w:rsidP="00282B8D">
      <w:pPr>
        <w:suppressAutoHyphens/>
        <w:ind w:left="567" w:hanging="567"/>
        <w:rPr>
          <w:rFonts w:asciiTheme="minorHAnsi" w:hAnsiTheme="minorHAnsi"/>
          <w:b/>
          <w:sz w:val="24"/>
          <w:szCs w:val="24"/>
        </w:rPr>
      </w:pPr>
      <w:r w:rsidRPr="006829C3">
        <w:rPr>
          <w:rFonts w:asciiTheme="minorHAnsi" w:hAnsiTheme="minorHAnsi"/>
          <w:b/>
          <w:sz w:val="24"/>
          <w:szCs w:val="24"/>
        </w:rPr>
        <w:t>5.</w:t>
      </w:r>
      <w:r w:rsidRPr="006829C3">
        <w:rPr>
          <w:rFonts w:asciiTheme="minorHAnsi" w:hAnsiTheme="minorHAnsi"/>
          <w:b/>
          <w:sz w:val="24"/>
          <w:szCs w:val="24"/>
        </w:rPr>
        <w:tab/>
        <w:t>PROPRIÉTÉ</w:t>
      </w:r>
      <w:r w:rsidR="00282B8D" w:rsidRPr="006829C3">
        <w:rPr>
          <w:rFonts w:asciiTheme="minorHAnsi" w:hAnsiTheme="minorHAnsi"/>
          <w:b/>
          <w:sz w:val="24"/>
          <w:szCs w:val="24"/>
        </w:rPr>
        <w:t>S PHARMACOLOGIQUES</w:t>
      </w:r>
    </w:p>
    <w:p w:rsidR="00282B8D" w:rsidRPr="006829C3" w:rsidRDefault="00282B8D" w:rsidP="00282B8D">
      <w:pPr>
        <w:suppressAutoHyphens/>
        <w:rPr>
          <w:rFonts w:asciiTheme="minorHAnsi" w:hAnsiTheme="minorHAnsi"/>
          <w:sz w:val="24"/>
          <w:szCs w:val="24"/>
        </w:rPr>
      </w:pPr>
    </w:p>
    <w:p w:rsidR="00282B8D" w:rsidRPr="006829C3" w:rsidRDefault="00282B8D" w:rsidP="00282B8D">
      <w:pPr>
        <w:suppressAutoHyphens/>
        <w:ind w:left="567" w:hanging="567"/>
        <w:rPr>
          <w:rFonts w:asciiTheme="minorHAnsi" w:hAnsiTheme="minorHAnsi"/>
          <w:b/>
          <w:sz w:val="24"/>
          <w:szCs w:val="24"/>
        </w:rPr>
      </w:pPr>
      <w:r w:rsidRPr="006829C3">
        <w:rPr>
          <w:rFonts w:asciiTheme="minorHAnsi" w:hAnsiTheme="minorHAnsi"/>
          <w:b/>
          <w:sz w:val="24"/>
          <w:szCs w:val="24"/>
        </w:rPr>
        <w:t>5.1</w:t>
      </w:r>
      <w:r w:rsidRPr="006829C3">
        <w:rPr>
          <w:rFonts w:asciiTheme="minorHAnsi" w:hAnsiTheme="minorHAnsi"/>
          <w:b/>
          <w:sz w:val="24"/>
          <w:szCs w:val="24"/>
        </w:rPr>
        <w:tab/>
        <w:t>Propriétés pharmacodynamiques</w:t>
      </w:r>
    </w:p>
    <w:p w:rsidR="00282B8D" w:rsidRPr="006829C3" w:rsidRDefault="00282B8D" w:rsidP="00DF7155">
      <w:pPr>
        <w:pStyle w:val="EMEAEnBodyText"/>
        <w:autoSpaceDE w:val="0"/>
        <w:autoSpaceDN w:val="0"/>
        <w:adjustRightInd w:val="0"/>
        <w:spacing w:before="0" w:after="0"/>
        <w:ind w:left="567"/>
        <w:rPr>
          <w:rFonts w:asciiTheme="minorHAnsi" w:hAnsiTheme="minorHAnsi"/>
          <w:sz w:val="24"/>
          <w:szCs w:val="24"/>
          <w:lang w:val="fr-FR"/>
        </w:rPr>
      </w:pPr>
    </w:p>
    <w:p w:rsidR="00BC20EE" w:rsidRPr="00C82355" w:rsidRDefault="00282B8D" w:rsidP="00BC20EE">
      <w:pPr>
        <w:ind w:firstLine="567"/>
        <w:rPr>
          <w:sz w:val="24"/>
          <w:szCs w:val="24"/>
        </w:rPr>
      </w:pPr>
      <w:r w:rsidRPr="00BC20EE">
        <w:rPr>
          <w:rFonts w:asciiTheme="minorHAnsi" w:hAnsiTheme="minorHAnsi"/>
          <w:sz w:val="24"/>
          <w:szCs w:val="24"/>
        </w:rPr>
        <w:t xml:space="preserve">Classe </w:t>
      </w:r>
      <w:r w:rsidRPr="00BC20EE">
        <w:rPr>
          <w:rFonts w:asciiTheme="minorHAnsi" w:hAnsiTheme="minorHAnsi" w:cstheme="minorHAnsi"/>
          <w:sz w:val="24"/>
          <w:szCs w:val="24"/>
        </w:rPr>
        <w:t xml:space="preserve">pharmacothérapeutique : </w:t>
      </w:r>
      <w:r w:rsidR="00BC20EE" w:rsidRPr="00BC20EE">
        <w:rPr>
          <w:rFonts w:asciiTheme="minorHAnsi" w:hAnsiTheme="minorHAnsi" w:cstheme="minorHAnsi"/>
          <w:sz w:val="24"/>
          <w:szCs w:val="24"/>
        </w:rPr>
        <w:t>autres préparations pour des états grippaux</w:t>
      </w:r>
    </w:p>
    <w:p w:rsidR="00461068" w:rsidRPr="00BC20EE" w:rsidRDefault="00461068" w:rsidP="00DF7155">
      <w:pPr>
        <w:pStyle w:val="EMEAEnBodyText"/>
        <w:autoSpaceDE w:val="0"/>
        <w:autoSpaceDN w:val="0"/>
        <w:adjustRightInd w:val="0"/>
        <w:spacing w:before="0" w:after="0"/>
        <w:ind w:left="567"/>
        <w:rPr>
          <w:rFonts w:asciiTheme="minorHAnsi" w:hAnsiTheme="minorHAnsi"/>
          <w:sz w:val="24"/>
          <w:szCs w:val="24"/>
          <w:lang w:val="fr-FR"/>
        </w:rPr>
      </w:pPr>
    </w:p>
    <w:p w:rsidR="00BC20EE" w:rsidRPr="00C15BF9" w:rsidRDefault="00461068" w:rsidP="00BC20EE">
      <w:pPr>
        <w:ind w:firstLine="567"/>
        <w:rPr>
          <w:rFonts w:asciiTheme="minorHAnsi" w:hAnsiTheme="minorHAnsi" w:cstheme="minorHAnsi"/>
          <w:sz w:val="24"/>
          <w:szCs w:val="24"/>
        </w:rPr>
      </w:pPr>
      <w:proofErr w:type="gramStart"/>
      <w:r w:rsidRPr="00C15BF9">
        <w:rPr>
          <w:rFonts w:asciiTheme="minorHAnsi" w:hAnsiTheme="minorHAnsi" w:cstheme="minorHAnsi"/>
          <w:sz w:val="24"/>
          <w:szCs w:val="24"/>
        </w:rPr>
        <w:t>c</w:t>
      </w:r>
      <w:r w:rsidR="00282B8D" w:rsidRPr="00C15BF9">
        <w:rPr>
          <w:rFonts w:asciiTheme="minorHAnsi" w:hAnsiTheme="minorHAnsi" w:cstheme="minorHAnsi"/>
          <w:sz w:val="24"/>
          <w:szCs w:val="24"/>
        </w:rPr>
        <w:t>ode</w:t>
      </w:r>
      <w:proofErr w:type="gramEnd"/>
      <w:r w:rsidR="00282B8D" w:rsidRPr="00C15BF9">
        <w:rPr>
          <w:rFonts w:asciiTheme="minorHAnsi" w:hAnsiTheme="minorHAnsi" w:cstheme="minorHAnsi"/>
          <w:sz w:val="24"/>
          <w:szCs w:val="24"/>
        </w:rPr>
        <w:t xml:space="preserve"> ATC : </w:t>
      </w:r>
      <w:r w:rsidR="00BC20EE" w:rsidRPr="00C15BF9">
        <w:rPr>
          <w:rFonts w:asciiTheme="minorHAnsi" w:hAnsiTheme="minorHAnsi" w:cstheme="minorHAnsi"/>
          <w:sz w:val="24"/>
          <w:szCs w:val="24"/>
        </w:rPr>
        <w:t xml:space="preserve">R5X </w:t>
      </w:r>
    </w:p>
    <w:p w:rsidR="00BC20EE" w:rsidRDefault="00BC20EE" w:rsidP="00BC20EE">
      <w:pPr>
        <w:ind w:left="4321" w:hanging="1"/>
        <w:jc w:val="both"/>
        <w:rPr>
          <w:sz w:val="24"/>
          <w:szCs w:val="24"/>
        </w:rPr>
      </w:pPr>
    </w:p>
    <w:p w:rsidR="00BC20EE" w:rsidRDefault="00BC20EE" w:rsidP="00BC20EE">
      <w:pPr>
        <w:ind w:left="567"/>
        <w:jc w:val="both"/>
        <w:rPr>
          <w:rFonts w:asciiTheme="minorHAnsi" w:hAnsiTheme="minorHAnsi" w:cstheme="minorHAnsi"/>
          <w:i/>
          <w:sz w:val="24"/>
          <w:szCs w:val="24"/>
        </w:rPr>
      </w:pPr>
      <w:r w:rsidRPr="00BC20EE">
        <w:rPr>
          <w:rFonts w:asciiTheme="minorHAnsi" w:hAnsiTheme="minorHAnsi" w:cstheme="minorHAnsi"/>
          <w:i/>
          <w:sz w:val="24"/>
          <w:szCs w:val="24"/>
        </w:rPr>
        <w:t>(</w:t>
      </w:r>
      <w:r w:rsidR="00A206A3">
        <w:rPr>
          <w:rFonts w:asciiTheme="minorHAnsi" w:hAnsiTheme="minorHAnsi" w:cstheme="minorHAnsi"/>
          <w:i/>
          <w:sz w:val="24"/>
          <w:szCs w:val="24"/>
        </w:rPr>
        <w:t xml:space="preserve">Alternative code ATC N02BE51 Combinaison de paracétamol à l’exception de </w:t>
      </w:r>
      <w:proofErr w:type="gramStart"/>
      <w:r w:rsidR="00A206A3">
        <w:rPr>
          <w:rFonts w:asciiTheme="minorHAnsi" w:hAnsiTheme="minorHAnsi" w:cstheme="minorHAnsi"/>
          <w:i/>
          <w:sz w:val="24"/>
          <w:szCs w:val="24"/>
        </w:rPr>
        <w:t>psycholeptiques ,</w:t>
      </w:r>
      <w:proofErr w:type="gramEnd"/>
      <w:r w:rsidR="00A206A3">
        <w:rPr>
          <w:rFonts w:asciiTheme="minorHAnsi" w:hAnsiTheme="minorHAnsi" w:cstheme="minorHAnsi"/>
          <w:i/>
          <w:sz w:val="24"/>
          <w:szCs w:val="24"/>
        </w:rPr>
        <w:t xml:space="preserve"> </w:t>
      </w:r>
      <w:r w:rsidRPr="00BC20EE">
        <w:rPr>
          <w:rFonts w:asciiTheme="minorHAnsi" w:hAnsiTheme="minorHAnsi" w:cstheme="minorHAnsi"/>
          <w:i/>
          <w:sz w:val="24"/>
          <w:szCs w:val="24"/>
        </w:rPr>
        <w:t>Code ATC des substance</w:t>
      </w:r>
      <w:r w:rsidR="00C15BF9">
        <w:rPr>
          <w:rFonts w:asciiTheme="minorHAnsi" w:hAnsiTheme="minorHAnsi" w:cstheme="minorHAnsi"/>
          <w:i/>
          <w:sz w:val="24"/>
          <w:szCs w:val="24"/>
        </w:rPr>
        <w:t>s</w:t>
      </w:r>
      <w:r w:rsidRPr="00BC20EE">
        <w:rPr>
          <w:rFonts w:asciiTheme="minorHAnsi" w:hAnsiTheme="minorHAnsi" w:cstheme="minorHAnsi"/>
          <w:i/>
          <w:sz w:val="24"/>
          <w:szCs w:val="24"/>
        </w:rPr>
        <w:t xml:space="preserve"> individuelles : Paracétamol: N02BE01 Autres </w:t>
      </w:r>
      <w:r w:rsidRPr="00BC20EE">
        <w:rPr>
          <w:rFonts w:asciiTheme="minorHAnsi" w:hAnsiTheme="minorHAnsi" w:cstheme="minorHAnsi"/>
          <w:i/>
          <w:sz w:val="24"/>
          <w:szCs w:val="24"/>
        </w:rPr>
        <w:lastRenderedPageBreak/>
        <w:t xml:space="preserve">analgésiques et antipyrétiques – anilides, Chlorhydrate de </w:t>
      </w:r>
      <w:proofErr w:type="spellStart"/>
      <w:r w:rsidRPr="00BC20EE">
        <w:rPr>
          <w:rFonts w:asciiTheme="minorHAnsi" w:hAnsiTheme="minorHAnsi" w:cstheme="minorHAnsi"/>
          <w:i/>
          <w:sz w:val="24"/>
          <w:szCs w:val="24"/>
        </w:rPr>
        <w:t>phényléphrine</w:t>
      </w:r>
      <w:proofErr w:type="spellEnd"/>
      <w:r w:rsidRPr="00BC20EE">
        <w:rPr>
          <w:rFonts w:asciiTheme="minorHAnsi" w:hAnsiTheme="minorHAnsi" w:cstheme="minorHAnsi"/>
          <w:i/>
          <w:sz w:val="24"/>
          <w:szCs w:val="24"/>
        </w:rPr>
        <w:t>: R01BA53   décongestion à usage systémique en association, Maléate de chlorphénamine: R06AB04 antihistaminique à usage systémique</w:t>
      </w:r>
    </w:p>
    <w:p w:rsidR="00817962" w:rsidRPr="00BC20EE" w:rsidRDefault="00817962" w:rsidP="00BC20EE">
      <w:pPr>
        <w:ind w:left="567"/>
        <w:jc w:val="both"/>
        <w:rPr>
          <w:rFonts w:asciiTheme="minorHAnsi" w:hAnsiTheme="minorHAnsi" w:cstheme="minorHAnsi"/>
          <w:i/>
          <w:sz w:val="24"/>
          <w:szCs w:val="24"/>
        </w:rPr>
      </w:pPr>
    </w:p>
    <w:p w:rsidR="00282B8D" w:rsidRPr="00BC20EE" w:rsidRDefault="00817962" w:rsidP="00817962">
      <w:pPr>
        <w:pStyle w:val="EMEAEnBodyText"/>
        <w:numPr>
          <w:ilvl w:val="2"/>
          <w:numId w:val="22"/>
        </w:numPr>
        <w:autoSpaceDE w:val="0"/>
        <w:autoSpaceDN w:val="0"/>
        <w:adjustRightInd w:val="0"/>
        <w:spacing w:before="0" w:after="0" w:line="312" w:lineRule="auto"/>
        <w:ind w:left="927"/>
        <w:rPr>
          <w:rFonts w:asciiTheme="minorHAnsi" w:hAnsiTheme="minorHAnsi" w:cstheme="minorHAnsi"/>
          <w:i/>
          <w:sz w:val="24"/>
          <w:szCs w:val="24"/>
          <w:lang w:val="fr-FR"/>
        </w:rPr>
      </w:pPr>
      <w:r w:rsidRPr="00DF7155">
        <w:rPr>
          <w:rFonts w:asciiTheme="minorHAnsi" w:hAnsiTheme="minorHAnsi"/>
          <w:sz w:val="24"/>
          <w:szCs w:val="24"/>
          <w:lang w:val="fr-FR"/>
        </w:rPr>
        <w:t xml:space="preserve">Le </w:t>
      </w:r>
      <w:r w:rsidRPr="002D2DDB">
        <w:rPr>
          <w:rFonts w:asciiTheme="minorHAnsi" w:hAnsiTheme="minorHAnsi"/>
          <w:b/>
          <w:sz w:val="24"/>
          <w:szCs w:val="24"/>
          <w:lang w:val="fr-FR"/>
        </w:rPr>
        <w:t>paracétamol</w:t>
      </w:r>
      <w:r w:rsidRPr="00DF7155">
        <w:rPr>
          <w:rFonts w:asciiTheme="minorHAnsi" w:hAnsiTheme="minorHAnsi"/>
          <w:sz w:val="24"/>
          <w:szCs w:val="24"/>
          <w:lang w:val="fr-FR"/>
        </w:rPr>
        <w:t>, dérivé de para-</w:t>
      </w:r>
      <w:proofErr w:type="spellStart"/>
      <w:r w:rsidRPr="00DF7155">
        <w:rPr>
          <w:rFonts w:asciiTheme="minorHAnsi" w:hAnsiTheme="minorHAnsi"/>
          <w:sz w:val="24"/>
          <w:szCs w:val="24"/>
          <w:lang w:val="fr-FR"/>
        </w:rPr>
        <w:t>aminophénol</w:t>
      </w:r>
      <w:proofErr w:type="spellEnd"/>
      <w:r w:rsidRPr="00DF7155">
        <w:rPr>
          <w:rFonts w:asciiTheme="minorHAnsi" w:hAnsiTheme="minorHAnsi"/>
          <w:sz w:val="24"/>
          <w:szCs w:val="24"/>
          <w:lang w:val="fr-FR"/>
        </w:rPr>
        <w:t>, possède des propriétés antipyrétiques et analgésiques. Il agit par inhibition de la biosynthèse des prostaglandines, principalement au niveau du système nerveux central</w:t>
      </w:r>
    </w:p>
    <w:p w:rsidR="00282B8D" w:rsidRPr="00DF7155" w:rsidRDefault="00817962" w:rsidP="00817962">
      <w:pPr>
        <w:pStyle w:val="EMEAEnBodyText"/>
        <w:numPr>
          <w:ilvl w:val="0"/>
          <w:numId w:val="22"/>
        </w:numPr>
        <w:autoSpaceDE w:val="0"/>
        <w:autoSpaceDN w:val="0"/>
        <w:adjustRightInd w:val="0"/>
        <w:spacing w:before="0" w:after="0" w:line="312" w:lineRule="auto"/>
        <w:ind w:left="924" w:hanging="357"/>
        <w:rPr>
          <w:rFonts w:asciiTheme="minorHAnsi" w:hAnsiTheme="minorHAnsi"/>
          <w:sz w:val="24"/>
          <w:szCs w:val="24"/>
          <w:lang w:val="fr-FR"/>
        </w:rPr>
      </w:pPr>
      <w:r>
        <w:rPr>
          <w:rFonts w:asciiTheme="minorHAnsi" w:hAnsiTheme="minorHAnsi"/>
          <w:sz w:val="24"/>
          <w:szCs w:val="24"/>
          <w:lang w:val="fr-FR"/>
        </w:rPr>
        <w:t xml:space="preserve">La </w:t>
      </w:r>
      <w:proofErr w:type="spellStart"/>
      <w:r w:rsidRPr="002D2DDB">
        <w:rPr>
          <w:rFonts w:asciiTheme="minorHAnsi" w:hAnsiTheme="minorHAnsi"/>
          <w:b/>
          <w:sz w:val="24"/>
          <w:szCs w:val="24"/>
          <w:lang w:val="fr-FR"/>
        </w:rPr>
        <w:t>phényléphrine</w:t>
      </w:r>
      <w:proofErr w:type="spellEnd"/>
      <w:r>
        <w:rPr>
          <w:rFonts w:asciiTheme="minorHAnsi" w:hAnsiTheme="minorHAnsi"/>
          <w:sz w:val="24"/>
          <w:szCs w:val="24"/>
          <w:lang w:val="fr-FR"/>
        </w:rPr>
        <w:t xml:space="preserve"> </w:t>
      </w:r>
      <w:r w:rsidRPr="00DF7155">
        <w:rPr>
          <w:rFonts w:asciiTheme="minorHAnsi" w:hAnsiTheme="minorHAnsi"/>
          <w:sz w:val="24"/>
          <w:szCs w:val="24"/>
          <w:lang w:val="fr-FR"/>
        </w:rPr>
        <w:t xml:space="preserve">est un sympathicomimétique à action essentiellement directe sur les récepteurs </w:t>
      </w:r>
      <w:r w:rsidRPr="00DF7155">
        <w:rPr>
          <w:rFonts w:asciiTheme="minorHAnsi" w:hAnsiTheme="minorHAnsi"/>
          <w:sz w:val="24"/>
          <w:szCs w:val="24"/>
          <w:lang w:val="fr-FR"/>
        </w:rPr>
        <w:sym w:font="Symbol" w:char="F061"/>
      </w:r>
      <w:r w:rsidRPr="00DF7155">
        <w:rPr>
          <w:rFonts w:asciiTheme="minorHAnsi" w:hAnsiTheme="minorHAnsi"/>
          <w:sz w:val="24"/>
          <w:szCs w:val="24"/>
          <w:lang w:val="fr-FR"/>
        </w:rPr>
        <w:t xml:space="preserve">-adrénergiques. En administration orale ou en application locale, il provoque une décongestion de la muqueuse nasale et dégage les voies respiratoires supérieures. Aux doses thérapeutiques, la </w:t>
      </w:r>
      <w:proofErr w:type="spellStart"/>
      <w:r w:rsidRPr="00DF7155">
        <w:rPr>
          <w:rFonts w:asciiTheme="minorHAnsi" w:hAnsiTheme="minorHAnsi"/>
          <w:sz w:val="24"/>
          <w:szCs w:val="24"/>
          <w:lang w:val="fr-FR"/>
        </w:rPr>
        <w:t>phényléphrine</w:t>
      </w:r>
      <w:proofErr w:type="spellEnd"/>
      <w:r w:rsidRPr="00DF7155">
        <w:rPr>
          <w:rFonts w:asciiTheme="minorHAnsi" w:hAnsiTheme="minorHAnsi"/>
          <w:sz w:val="24"/>
          <w:szCs w:val="24"/>
          <w:lang w:val="fr-FR"/>
        </w:rPr>
        <w:t xml:space="preserve"> n’a pas d’influence stimulante sur les récepteurs ß-adrénergiques du cœur (récepteur ß1). La </w:t>
      </w:r>
      <w:proofErr w:type="spellStart"/>
      <w:r w:rsidRPr="00DF7155">
        <w:rPr>
          <w:rFonts w:asciiTheme="minorHAnsi" w:hAnsiTheme="minorHAnsi"/>
          <w:sz w:val="24"/>
          <w:szCs w:val="24"/>
          <w:lang w:val="fr-FR"/>
        </w:rPr>
        <w:t>phényléphrine</w:t>
      </w:r>
      <w:proofErr w:type="spellEnd"/>
      <w:r w:rsidRPr="00DF7155">
        <w:rPr>
          <w:rFonts w:asciiTheme="minorHAnsi" w:hAnsiTheme="minorHAnsi"/>
          <w:sz w:val="24"/>
          <w:szCs w:val="24"/>
          <w:lang w:val="fr-FR"/>
        </w:rPr>
        <w:t xml:space="preserve"> ne stimule pas les récepteurs ß2- adrénergiques</w:t>
      </w:r>
    </w:p>
    <w:p w:rsidR="00DF7155" w:rsidRPr="00DF7155" w:rsidRDefault="00DF7155" w:rsidP="00D468E0">
      <w:pPr>
        <w:pStyle w:val="EMEAEnBodyText"/>
        <w:numPr>
          <w:ilvl w:val="0"/>
          <w:numId w:val="22"/>
        </w:numPr>
        <w:autoSpaceDE w:val="0"/>
        <w:autoSpaceDN w:val="0"/>
        <w:adjustRightInd w:val="0"/>
        <w:spacing w:before="0" w:after="0" w:line="312" w:lineRule="auto"/>
        <w:ind w:left="924" w:hanging="357"/>
        <w:rPr>
          <w:rFonts w:asciiTheme="minorHAnsi" w:hAnsiTheme="minorHAnsi"/>
          <w:sz w:val="24"/>
          <w:szCs w:val="24"/>
          <w:lang w:val="fr-FR"/>
        </w:rPr>
      </w:pPr>
      <w:r w:rsidRPr="00DF7155">
        <w:rPr>
          <w:rFonts w:asciiTheme="minorHAnsi" w:hAnsiTheme="minorHAnsi"/>
          <w:sz w:val="24"/>
          <w:szCs w:val="24"/>
          <w:lang w:val="fr-FR"/>
        </w:rPr>
        <w:t xml:space="preserve">Le maléate de </w:t>
      </w:r>
      <w:r w:rsidRPr="002D2DDB">
        <w:rPr>
          <w:rFonts w:asciiTheme="minorHAnsi" w:hAnsiTheme="minorHAnsi"/>
          <w:b/>
          <w:sz w:val="24"/>
          <w:szCs w:val="24"/>
          <w:lang w:val="fr-FR"/>
        </w:rPr>
        <w:t>chlorphénamine</w:t>
      </w:r>
      <w:r>
        <w:rPr>
          <w:rFonts w:asciiTheme="minorHAnsi" w:hAnsiTheme="minorHAnsi"/>
          <w:sz w:val="24"/>
          <w:szCs w:val="24"/>
          <w:lang w:val="fr-FR"/>
        </w:rPr>
        <w:t xml:space="preserve"> est </w:t>
      </w:r>
      <w:r w:rsidRPr="00DF7155">
        <w:rPr>
          <w:rFonts w:asciiTheme="minorHAnsi" w:hAnsiTheme="minorHAnsi"/>
          <w:sz w:val="24"/>
          <w:szCs w:val="24"/>
          <w:lang w:val="fr-FR"/>
        </w:rPr>
        <w:t xml:space="preserve">chimiquement apparenté aux </w:t>
      </w:r>
      <w:proofErr w:type="spellStart"/>
      <w:r w:rsidRPr="00DF7155">
        <w:rPr>
          <w:rFonts w:asciiTheme="minorHAnsi" w:hAnsiTheme="minorHAnsi"/>
          <w:sz w:val="24"/>
          <w:szCs w:val="24"/>
          <w:lang w:val="fr-FR"/>
        </w:rPr>
        <w:t>alkylamines</w:t>
      </w:r>
      <w:proofErr w:type="spellEnd"/>
      <w:r>
        <w:rPr>
          <w:rFonts w:asciiTheme="minorHAnsi" w:hAnsiTheme="minorHAnsi"/>
          <w:sz w:val="24"/>
          <w:szCs w:val="24"/>
          <w:lang w:val="fr-FR"/>
        </w:rPr>
        <w:t xml:space="preserve"> et</w:t>
      </w:r>
      <w:r w:rsidRPr="00DF7155">
        <w:rPr>
          <w:rFonts w:asciiTheme="minorHAnsi" w:hAnsiTheme="minorHAnsi"/>
          <w:sz w:val="24"/>
          <w:szCs w:val="24"/>
          <w:lang w:val="fr-FR"/>
        </w:rPr>
        <w:t xml:space="preserve"> possède une activité antihistaminique puissante. Il agit par blocage des récepteurs H1 de l'histamine, au niveau central et périphérique. Ses effets atropiniques et sédatifs produisent une bronchodilatation et une sédation légère de la toux, pendant 4 à 6 heures. Il diminue l'irritation du nasopharynx et réduit la sécrétion de la muqueuse nasale en cas de rhinite</w:t>
      </w:r>
      <w:r>
        <w:rPr>
          <w:rFonts w:asciiTheme="minorHAnsi" w:hAnsiTheme="minorHAnsi"/>
          <w:sz w:val="24"/>
          <w:szCs w:val="24"/>
          <w:lang w:val="fr-FR"/>
        </w:rPr>
        <w:t>.</w:t>
      </w:r>
    </w:p>
    <w:p w:rsidR="00DF7155" w:rsidRPr="00DF7155" w:rsidRDefault="00DF7155" w:rsidP="00817962">
      <w:pPr>
        <w:pStyle w:val="EMEAEnBodyText"/>
        <w:autoSpaceDE w:val="0"/>
        <w:autoSpaceDN w:val="0"/>
        <w:adjustRightInd w:val="0"/>
        <w:spacing w:before="0" w:after="0"/>
        <w:rPr>
          <w:rFonts w:asciiTheme="minorHAnsi" w:hAnsiTheme="minorHAnsi"/>
          <w:sz w:val="24"/>
          <w:szCs w:val="24"/>
          <w:lang w:val="fr-FR"/>
        </w:rPr>
      </w:pPr>
    </w:p>
    <w:p w:rsidR="00DF7155" w:rsidRPr="006829C3" w:rsidRDefault="00DF7155" w:rsidP="00DF7155">
      <w:pPr>
        <w:pStyle w:val="EMEAEnBodyText"/>
        <w:autoSpaceDE w:val="0"/>
        <w:autoSpaceDN w:val="0"/>
        <w:adjustRightInd w:val="0"/>
        <w:spacing w:before="0" w:after="0"/>
        <w:ind w:left="567"/>
        <w:rPr>
          <w:rFonts w:asciiTheme="minorHAnsi" w:hAnsiTheme="minorHAnsi"/>
          <w:sz w:val="24"/>
          <w:szCs w:val="24"/>
          <w:lang w:val="fr-FR"/>
        </w:rPr>
      </w:pPr>
    </w:p>
    <w:p w:rsidR="00282B8D" w:rsidRPr="006829C3" w:rsidRDefault="00282B8D" w:rsidP="00282B8D">
      <w:pPr>
        <w:suppressAutoHyphens/>
        <w:ind w:left="567" w:hanging="567"/>
        <w:rPr>
          <w:rFonts w:asciiTheme="minorHAnsi" w:hAnsiTheme="minorHAnsi"/>
          <w:b/>
          <w:sz w:val="24"/>
          <w:szCs w:val="24"/>
        </w:rPr>
      </w:pPr>
      <w:r w:rsidRPr="006829C3">
        <w:rPr>
          <w:rFonts w:asciiTheme="minorHAnsi" w:hAnsiTheme="minorHAnsi"/>
          <w:b/>
          <w:sz w:val="24"/>
          <w:szCs w:val="24"/>
        </w:rPr>
        <w:t>5.2</w:t>
      </w:r>
      <w:r w:rsidRPr="006829C3">
        <w:rPr>
          <w:rFonts w:asciiTheme="minorHAnsi" w:hAnsiTheme="minorHAnsi"/>
          <w:b/>
          <w:sz w:val="24"/>
          <w:szCs w:val="24"/>
        </w:rPr>
        <w:tab/>
        <w:t>Propriétés pharmacocinétiques</w:t>
      </w:r>
    </w:p>
    <w:p w:rsidR="00282B8D" w:rsidRPr="00DF7155" w:rsidRDefault="00282B8D" w:rsidP="00DF7155">
      <w:pPr>
        <w:pStyle w:val="EMEAEnBodyText"/>
        <w:autoSpaceDE w:val="0"/>
        <w:autoSpaceDN w:val="0"/>
        <w:adjustRightInd w:val="0"/>
        <w:spacing w:before="0" w:after="0"/>
        <w:ind w:left="567"/>
        <w:rPr>
          <w:rFonts w:asciiTheme="minorHAnsi" w:hAnsiTheme="minorHAnsi"/>
          <w:sz w:val="24"/>
          <w:szCs w:val="24"/>
          <w:lang w:val="fr-FR"/>
        </w:rPr>
      </w:pPr>
    </w:p>
    <w:p w:rsidR="00D468E0" w:rsidRPr="00D468E0" w:rsidRDefault="00817962" w:rsidP="00D468E0">
      <w:pPr>
        <w:pStyle w:val="ListParagraph"/>
        <w:numPr>
          <w:ilvl w:val="0"/>
          <w:numId w:val="25"/>
        </w:numPr>
        <w:spacing w:line="300" w:lineRule="auto"/>
        <w:ind w:left="907" w:hanging="340"/>
        <w:rPr>
          <w:rFonts w:asciiTheme="minorHAnsi" w:hAnsiTheme="minorHAnsi" w:cstheme="minorHAnsi"/>
          <w:sz w:val="24"/>
          <w:szCs w:val="24"/>
          <w:lang w:val="fr-BE"/>
        </w:rPr>
      </w:pPr>
      <w:r w:rsidRPr="00DF7155">
        <w:rPr>
          <w:rFonts w:asciiTheme="minorHAnsi" w:hAnsiTheme="minorHAnsi"/>
          <w:sz w:val="24"/>
          <w:szCs w:val="24"/>
        </w:rPr>
        <w:t xml:space="preserve">Le </w:t>
      </w:r>
      <w:r w:rsidRPr="00881C9C">
        <w:rPr>
          <w:rFonts w:asciiTheme="minorHAnsi" w:hAnsiTheme="minorHAnsi"/>
          <w:b/>
          <w:sz w:val="24"/>
          <w:szCs w:val="24"/>
        </w:rPr>
        <w:t>paracétamol</w:t>
      </w:r>
      <w:r w:rsidRPr="00DF7155">
        <w:rPr>
          <w:rFonts w:asciiTheme="minorHAnsi" w:hAnsiTheme="minorHAnsi"/>
          <w:sz w:val="24"/>
          <w:szCs w:val="24"/>
        </w:rPr>
        <w:t xml:space="preserve">, après administration orale, est résorbé entièrement au niveau du tractus gastrointestinal. </w:t>
      </w:r>
      <w:r w:rsidR="008444C5" w:rsidRPr="00DF7155">
        <w:rPr>
          <w:rFonts w:asciiTheme="minorHAnsi" w:hAnsiTheme="minorHAnsi"/>
          <w:sz w:val="24"/>
          <w:szCs w:val="24"/>
        </w:rPr>
        <w:t xml:space="preserve">Le pic de concentration plasmatique est atteint après 30 minutes à 1 heure. </w:t>
      </w:r>
      <w:r w:rsidR="00D468E0" w:rsidRPr="00D468E0">
        <w:rPr>
          <w:rFonts w:asciiTheme="minorHAnsi" w:hAnsiTheme="minorHAnsi" w:cstheme="minorHAnsi"/>
          <w:sz w:val="24"/>
          <w:szCs w:val="24"/>
          <w:lang w:val="fr"/>
        </w:rPr>
        <w:t>L’effet analgésique atteint un maximum en 1 à 3 heures et dure 3 à 4 heures.</w:t>
      </w:r>
    </w:p>
    <w:p w:rsidR="00817962" w:rsidRDefault="00817962" w:rsidP="00A02143">
      <w:pPr>
        <w:pStyle w:val="EMEAEnBodyText"/>
        <w:autoSpaceDE w:val="0"/>
        <w:autoSpaceDN w:val="0"/>
        <w:adjustRightInd w:val="0"/>
        <w:spacing w:before="0" w:after="0" w:line="312" w:lineRule="auto"/>
        <w:ind w:left="927"/>
        <w:rPr>
          <w:rFonts w:asciiTheme="minorHAnsi" w:hAnsiTheme="minorHAnsi"/>
          <w:sz w:val="24"/>
          <w:szCs w:val="24"/>
          <w:lang w:val="fr-FR"/>
        </w:rPr>
      </w:pPr>
      <w:r w:rsidRPr="00DF7155">
        <w:rPr>
          <w:rFonts w:asciiTheme="minorHAnsi" w:hAnsiTheme="minorHAnsi"/>
          <w:sz w:val="24"/>
          <w:szCs w:val="24"/>
          <w:lang w:val="fr-FR"/>
        </w:rPr>
        <w:t xml:space="preserve">La demi-vie plasmatique du paracétamol est de l'ordre de 2 heures à 2 heures 30. Il est faiblement lié aux protéines plasmatiques (20 % à 50 %) et il se distribue dans tous les liquides de l'organisme. Il est métabolisé par le foie, et est </w:t>
      </w:r>
      <w:r w:rsidR="008444C5" w:rsidRPr="00DF7155">
        <w:rPr>
          <w:rFonts w:asciiTheme="minorHAnsi" w:hAnsiTheme="minorHAnsi"/>
          <w:sz w:val="24"/>
          <w:szCs w:val="24"/>
          <w:lang w:val="fr-FR"/>
        </w:rPr>
        <w:t>éliminé</w:t>
      </w:r>
      <w:r w:rsidRPr="00DF7155">
        <w:rPr>
          <w:rFonts w:asciiTheme="minorHAnsi" w:hAnsiTheme="minorHAnsi"/>
          <w:sz w:val="24"/>
          <w:szCs w:val="24"/>
          <w:lang w:val="fr-FR"/>
        </w:rPr>
        <w:t xml:space="preserve"> dans l'urine, principalement sous forme de dérivés </w:t>
      </w:r>
      <w:proofErr w:type="spellStart"/>
      <w:r w:rsidRPr="00DF7155">
        <w:rPr>
          <w:rFonts w:asciiTheme="minorHAnsi" w:hAnsiTheme="minorHAnsi"/>
          <w:sz w:val="24"/>
          <w:szCs w:val="24"/>
          <w:lang w:val="fr-FR"/>
        </w:rPr>
        <w:t>glucuro</w:t>
      </w:r>
      <w:proofErr w:type="spellEnd"/>
      <w:r>
        <w:rPr>
          <w:rFonts w:asciiTheme="minorHAnsi" w:hAnsiTheme="minorHAnsi"/>
          <w:sz w:val="24"/>
          <w:szCs w:val="24"/>
          <w:lang w:val="fr-FR"/>
        </w:rPr>
        <w:t>-conjugués</w:t>
      </w:r>
      <w:r w:rsidRPr="00DF7155">
        <w:rPr>
          <w:rFonts w:asciiTheme="minorHAnsi" w:hAnsiTheme="minorHAnsi"/>
          <w:sz w:val="24"/>
          <w:szCs w:val="24"/>
          <w:lang w:val="fr-FR"/>
        </w:rPr>
        <w:t xml:space="preserve"> et </w:t>
      </w:r>
      <w:proofErr w:type="spellStart"/>
      <w:r w:rsidRPr="00DF7155">
        <w:rPr>
          <w:rFonts w:asciiTheme="minorHAnsi" w:hAnsiTheme="minorHAnsi"/>
          <w:sz w:val="24"/>
          <w:szCs w:val="24"/>
          <w:lang w:val="fr-FR"/>
        </w:rPr>
        <w:t>sulfo</w:t>
      </w:r>
      <w:proofErr w:type="spellEnd"/>
      <w:r w:rsidRPr="00DF7155">
        <w:rPr>
          <w:rFonts w:asciiTheme="minorHAnsi" w:hAnsiTheme="minorHAnsi"/>
          <w:sz w:val="24"/>
          <w:szCs w:val="24"/>
          <w:lang w:val="fr-FR"/>
        </w:rPr>
        <w:t>-conjugués. L'élimination est totale après 24 heures</w:t>
      </w:r>
    </w:p>
    <w:p w:rsidR="00A42EEE" w:rsidRDefault="00A42EEE" w:rsidP="00A42EEE">
      <w:pPr>
        <w:pStyle w:val="EMEAEnBodyText"/>
        <w:numPr>
          <w:ilvl w:val="0"/>
          <w:numId w:val="17"/>
        </w:numPr>
        <w:autoSpaceDE w:val="0"/>
        <w:autoSpaceDN w:val="0"/>
        <w:adjustRightInd w:val="0"/>
        <w:spacing w:before="0" w:after="0" w:line="312" w:lineRule="auto"/>
        <w:ind w:left="927"/>
        <w:rPr>
          <w:rFonts w:asciiTheme="minorHAnsi" w:hAnsiTheme="minorHAnsi"/>
          <w:sz w:val="24"/>
          <w:szCs w:val="24"/>
          <w:lang w:val="fr-FR"/>
        </w:rPr>
      </w:pPr>
      <w:r>
        <w:rPr>
          <w:rFonts w:asciiTheme="minorHAnsi" w:hAnsiTheme="minorHAnsi"/>
          <w:sz w:val="24"/>
          <w:szCs w:val="24"/>
          <w:lang w:val="fr-FR"/>
        </w:rPr>
        <w:t>L</w:t>
      </w:r>
      <w:r w:rsidRPr="00DF7155">
        <w:rPr>
          <w:rFonts w:asciiTheme="minorHAnsi" w:hAnsiTheme="minorHAnsi"/>
          <w:sz w:val="24"/>
          <w:szCs w:val="24"/>
          <w:lang w:val="fr-FR"/>
        </w:rPr>
        <w:t xml:space="preserve">a </w:t>
      </w:r>
      <w:proofErr w:type="spellStart"/>
      <w:r w:rsidRPr="00881C9C">
        <w:rPr>
          <w:rFonts w:asciiTheme="minorHAnsi" w:hAnsiTheme="minorHAnsi"/>
          <w:b/>
          <w:sz w:val="24"/>
          <w:szCs w:val="24"/>
          <w:lang w:val="fr-FR"/>
        </w:rPr>
        <w:t>phényléphrine</w:t>
      </w:r>
      <w:proofErr w:type="spellEnd"/>
      <w:r w:rsidRPr="00DF7155">
        <w:rPr>
          <w:rFonts w:asciiTheme="minorHAnsi" w:hAnsiTheme="minorHAnsi"/>
          <w:sz w:val="24"/>
          <w:szCs w:val="24"/>
          <w:lang w:val="fr-FR"/>
        </w:rPr>
        <w:t xml:space="preserve"> est résorbée</w:t>
      </w:r>
      <w:r>
        <w:rPr>
          <w:rFonts w:asciiTheme="minorHAnsi" w:hAnsiTheme="minorHAnsi"/>
          <w:sz w:val="24"/>
          <w:szCs w:val="24"/>
          <w:lang w:val="fr-FR"/>
        </w:rPr>
        <w:t>,</w:t>
      </w:r>
      <w:r w:rsidRPr="00DF7155">
        <w:rPr>
          <w:rFonts w:asciiTheme="minorHAnsi" w:hAnsiTheme="minorHAnsi"/>
          <w:sz w:val="24"/>
          <w:szCs w:val="24"/>
          <w:lang w:val="fr-FR"/>
        </w:rPr>
        <w:t xml:space="preserve"> </w:t>
      </w:r>
      <w:r>
        <w:rPr>
          <w:rFonts w:asciiTheme="minorHAnsi" w:hAnsiTheme="minorHAnsi"/>
          <w:sz w:val="24"/>
          <w:szCs w:val="24"/>
          <w:lang w:val="fr-FR"/>
        </w:rPr>
        <w:t>a</w:t>
      </w:r>
      <w:r w:rsidRPr="00DF7155">
        <w:rPr>
          <w:rFonts w:asciiTheme="minorHAnsi" w:hAnsiTheme="minorHAnsi"/>
          <w:sz w:val="24"/>
          <w:szCs w:val="24"/>
          <w:lang w:val="fr-FR"/>
        </w:rPr>
        <w:t xml:space="preserve">près administration orale, de manière rapide mais irrégulière. </w:t>
      </w:r>
      <w:r>
        <w:rPr>
          <w:rFonts w:asciiTheme="minorHAnsi" w:hAnsiTheme="minorHAnsi"/>
          <w:sz w:val="24"/>
          <w:szCs w:val="24"/>
          <w:lang w:val="fr-FR"/>
        </w:rPr>
        <w:t xml:space="preserve">L’action de décongestion nasale  de la </w:t>
      </w:r>
      <w:proofErr w:type="spellStart"/>
      <w:r>
        <w:rPr>
          <w:rFonts w:asciiTheme="minorHAnsi" w:hAnsiTheme="minorHAnsi"/>
          <w:sz w:val="24"/>
          <w:szCs w:val="24"/>
          <w:lang w:val="fr-FR"/>
        </w:rPr>
        <w:t>phényléphrine</w:t>
      </w:r>
      <w:proofErr w:type="spellEnd"/>
      <w:r>
        <w:rPr>
          <w:rFonts w:asciiTheme="minorHAnsi" w:hAnsiTheme="minorHAnsi"/>
          <w:sz w:val="24"/>
          <w:szCs w:val="24"/>
          <w:lang w:val="fr-FR"/>
        </w:rPr>
        <w:t xml:space="preserve"> administrée par voie orale commence en 15 à 20 minutes et dure 2 à 4 heures. </w:t>
      </w:r>
    </w:p>
    <w:p w:rsidR="00A42EEE" w:rsidRDefault="00A42EEE" w:rsidP="00A42EEE">
      <w:pPr>
        <w:pStyle w:val="EMEAEnBodyText"/>
        <w:autoSpaceDE w:val="0"/>
        <w:autoSpaceDN w:val="0"/>
        <w:adjustRightInd w:val="0"/>
        <w:spacing w:before="0" w:after="0" w:line="312" w:lineRule="auto"/>
        <w:ind w:left="927"/>
        <w:rPr>
          <w:rFonts w:asciiTheme="minorHAnsi" w:hAnsiTheme="minorHAnsi"/>
          <w:sz w:val="24"/>
          <w:szCs w:val="24"/>
          <w:lang w:val="fr-FR"/>
        </w:rPr>
      </w:pPr>
      <w:r w:rsidRPr="00DF7155">
        <w:rPr>
          <w:rFonts w:asciiTheme="minorHAnsi" w:hAnsiTheme="minorHAnsi"/>
          <w:sz w:val="24"/>
          <w:szCs w:val="24"/>
          <w:lang w:val="fr-FR"/>
        </w:rPr>
        <w:t xml:space="preserve">Dans le tractus gastro-intestinal et dans le foie, la </w:t>
      </w:r>
      <w:proofErr w:type="spellStart"/>
      <w:r w:rsidRPr="00DF7155">
        <w:rPr>
          <w:rFonts w:asciiTheme="minorHAnsi" w:hAnsiTheme="minorHAnsi"/>
          <w:sz w:val="24"/>
          <w:szCs w:val="24"/>
          <w:lang w:val="fr-FR"/>
        </w:rPr>
        <w:t>phényléphrine</w:t>
      </w:r>
      <w:proofErr w:type="spellEnd"/>
      <w:r w:rsidRPr="00DF7155">
        <w:rPr>
          <w:rFonts w:asciiTheme="minorHAnsi" w:hAnsiTheme="minorHAnsi"/>
          <w:sz w:val="24"/>
          <w:szCs w:val="24"/>
          <w:lang w:val="fr-FR"/>
        </w:rPr>
        <w:t xml:space="preserve"> est métabolisée par la </w:t>
      </w:r>
      <w:r w:rsidR="00C62FA7" w:rsidRPr="00DF7155">
        <w:rPr>
          <w:rFonts w:asciiTheme="minorHAnsi" w:hAnsiTheme="minorHAnsi"/>
          <w:sz w:val="24"/>
          <w:szCs w:val="24"/>
          <w:lang w:val="fr-FR"/>
        </w:rPr>
        <w:t>monoamine-oxydase</w:t>
      </w:r>
      <w:r w:rsidRPr="00DF7155">
        <w:rPr>
          <w:rFonts w:asciiTheme="minorHAnsi" w:hAnsiTheme="minorHAnsi"/>
          <w:sz w:val="24"/>
          <w:szCs w:val="24"/>
          <w:lang w:val="fr-FR"/>
        </w:rPr>
        <w:t xml:space="preserve">. La demi-vie plasmatique est de 2 à 3 heures environ. Approximativement 80 % de la dose orale est excrétée dans l’urine endéans les 24 </w:t>
      </w:r>
      <w:r w:rsidRPr="00DF7155">
        <w:rPr>
          <w:rFonts w:asciiTheme="minorHAnsi" w:hAnsiTheme="minorHAnsi"/>
          <w:sz w:val="24"/>
          <w:szCs w:val="24"/>
          <w:lang w:val="fr-FR"/>
        </w:rPr>
        <w:lastRenderedPageBreak/>
        <w:t xml:space="preserve">heures, principalement sous forme de produits </w:t>
      </w:r>
      <w:proofErr w:type="spellStart"/>
      <w:r w:rsidRPr="00DF7155">
        <w:rPr>
          <w:rFonts w:asciiTheme="minorHAnsi" w:hAnsiTheme="minorHAnsi"/>
          <w:sz w:val="24"/>
          <w:szCs w:val="24"/>
          <w:lang w:val="fr-FR"/>
        </w:rPr>
        <w:t>sulfoconjugués</w:t>
      </w:r>
      <w:proofErr w:type="spellEnd"/>
      <w:r w:rsidRPr="00DF7155">
        <w:rPr>
          <w:rFonts w:asciiTheme="minorHAnsi" w:hAnsiTheme="minorHAnsi"/>
          <w:sz w:val="24"/>
          <w:szCs w:val="24"/>
          <w:lang w:val="fr-FR"/>
        </w:rPr>
        <w:t xml:space="preserve"> de la </w:t>
      </w:r>
      <w:proofErr w:type="spellStart"/>
      <w:r w:rsidRPr="00DF7155">
        <w:rPr>
          <w:rFonts w:asciiTheme="minorHAnsi" w:hAnsiTheme="minorHAnsi"/>
          <w:sz w:val="24"/>
          <w:szCs w:val="24"/>
          <w:lang w:val="fr-FR"/>
        </w:rPr>
        <w:t>phényléphr</w:t>
      </w:r>
      <w:r>
        <w:rPr>
          <w:rFonts w:asciiTheme="minorHAnsi" w:hAnsiTheme="minorHAnsi"/>
          <w:sz w:val="24"/>
          <w:szCs w:val="24"/>
          <w:lang w:val="fr-FR"/>
        </w:rPr>
        <w:t>ine</w:t>
      </w:r>
      <w:proofErr w:type="spellEnd"/>
      <w:r>
        <w:rPr>
          <w:rFonts w:asciiTheme="minorHAnsi" w:hAnsiTheme="minorHAnsi"/>
          <w:sz w:val="24"/>
          <w:szCs w:val="24"/>
          <w:lang w:val="fr-FR"/>
        </w:rPr>
        <w:t xml:space="preserve"> </w:t>
      </w:r>
      <w:proofErr w:type="gramStart"/>
      <w:r>
        <w:rPr>
          <w:rFonts w:asciiTheme="minorHAnsi" w:hAnsiTheme="minorHAnsi"/>
          <w:sz w:val="24"/>
          <w:szCs w:val="24"/>
          <w:lang w:val="fr-FR"/>
        </w:rPr>
        <w:t>et</w:t>
      </w:r>
      <w:proofErr w:type="gramEnd"/>
      <w:r>
        <w:rPr>
          <w:rFonts w:asciiTheme="minorHAnsi" w:hAnsiTheme="minorHAnsi"/>
          <w:sz w:val="24"/>
          <w:szCs w:val="24"/>
          <w:lang w:val="fr-FR"/>
        </w:rPr>
        <w:t xml:space="preserve"> de m-</w:t>
      </w:r>
      <w:proofErr w:type="spellStart"/>
      <w:r>
        <w:rPr>
          <w:rFonts w:asciiTheme="minorHAnsi" w:hAnsiTheme="minorHAnsi"/>
          <w:sz w:val="24"/>
          <w:szCs w:val="24"/>
          <w:lang w:val="fr-FR"/>
        </w:rPr>
        <w:t>hydroxyphénylglycol</w:t>
      </w:r>
      <w:proofErr w:type="spellEnd"/>
      <w:r w:rsidRPr="00DF7155">
        <w:rPr>
          <w:rFonts w:asciiTheme="minorHAnsi" w:hAnsiTheme="minorHAnsi"/>
          <w:sz w:val="24"/>
          <w:szCs w:val="24"/>
          <w:lang w:val="fr-FR"/>
        </w:rPr>
        <w:t>; environ 30 % sont excrétés sous forme d’acide m</w:t>
      </w:r>
      <w:r>
        <w:rPr>
          <w:rFonts w:asciiTheme="minorHAnsi" w:hAnsiTheme="minorHAnsi"/>
          <w:sz w:val="24"/>
          <w:szCs w:val="24"/>
          <w:lang w:val="fr-FR"/>
        </w:rPr>
        <w:t>-</w:t>
      </w:r>
      <w:proofErr w:type="spellStart"/>
      <w:r w:rsidRPr="00DF7155">
        <w:rPr>
          <w:rFonts w:asciiTheme="minorHAnsi" w:hAnsiTheme="minorHAnsi"/>
          <w:sz w:val="24"/>
          <w:szCs w:val="24"/>
          <w:lang w:val="fr-FR"/>
        </w:rPr>
        <w:t>hydroxymandélique</w:t>
      </w:r>
      <w:proofErr w:type="spellEnd"/>
      <w:r w:rsidRPr="00DF7155">
        <w:rPr>
          <w:rFonts w:asciiTheme="minorHAnsi" w:hAnsiTheme="minorHAnsi"/>
          <w:sz w:val="24"/>
          <w:szCs w:val="24"/>
          <w:lang w:val="fr-FR"/>
        </w:rPr>
        <w:t xml:space="preserve"> non-conjugué. </w:t>
      </w:r>
    </w:p>
    <w:p w:rsidR="00C62FA7" w:rsidRPr="00C62FA7" w:rsidRDefault="00DF7155" w:rsidP="00817962">
      <w:pPr>
        <w:pStyle w:val="EMEAEnBodyText"/>
        <w:numPr>
          <w:ilvl w:val="0"/>
          <w:numId w:val="17"/>
        </w:numPr>
        <w:autoSpaceDE w:val="0"/>
        <w:autoSpaceDN w:val="0"/>
        <w:adjustRightInd w:val="0"/>
        <w:spacing w:before="0" w:after="0" w:line="312" w:lineRule="auto"/>
        <w:ind w:left="927"/>
        <w:rPr>
          <w:rFonts w:asciiTheme="minorHAnsi" w:hAnsiTheme="minorHAnsi" w:cstheme="minorHAnsi"/>
          <w:sz w:val="24"/>
          <w:szCs w:val="24"/>
          <w:lang w:val="fr-FR"/>
        </w:rPr>
      </w:pPr>
      <w:r w:rsidRPr="00DF7155">
        <w:rPr>
          <w:rFonts w:asciiTheme="minorHAnsi" w:hAnsiTheme="minorHAnsi"/>
          <w:sz w:val="24"/>
          <w:szCs w:val="24"/>
          <w:lang w:val="fr-FR"/>
        </w:rPr>
        <w:t xml:space="preserve">Le maléate de </w:t>
      </w:r>
      <w:r w:rsidRPr="00881C9C">
        <w:rPr>
          <w:rFonts w:asciiTheme="minorHAnsi" w:hAnsiTheme="minorHAnsi"/>
          <w:b/>
          <w:sz w:val="24"/>
          <w:szCs w:val="24"/>
          <w:lang w:val="fr-FR"/>
        </w:rPr>
        <w:t>chlorphénamine</w:t>
      </w:r>
      <w:r w:rsidRPr="00DF7155">
        <w:rPr>
          <w:rFonts w:asciiTheme="minorHAnsi" w:hAnsiTheme="minorHAnsi"/>
          <w:sz w:val="24"/>
          <w:szCs w:val="24"/>
          <w:lang w:val="fr-FR"/>
        </w:rPr>
        <w:t xml:space="preserve"> est résorbé de manière rapide et quasi complète par le tractus gastro-intestinal.</w:t>
      </w:r>
      <w:r w:rsidR="00C62FA7" w:rsidRPr="00C62FA7">
        <w:rPr>
          <w:rFonts w:asciiTheme="minorHAnsi" w:hAnsiTheme="minorHAnsi"/>
          <w:lang w:val="fr-BE"/>
        </w:rPr>
        <w:t xml:space="preserve"> </w:t>
      </w:r>
      <w:r w:rsidR="00C62FA7" w:rsidRPr="00C62FA7">
        <w:rPr>
          <w:rFonts w:asciiTheme="minorHAnsi" w:hAnsiTheme="minorHAnsi" w:cstheme="minorHAnsi"/>
          <w:sz w:val="24"/>
          <w:szCs w:val="24"/>
          <w:lang w:val="fr"/>
        </w:rPr>
        <w:t xml:space="preserve">Le pic des concentrations plasmatiques apparaît dans l’intervalle de 2 à 6 heures d’administration. La distribution </w:t>
      </w:r>
      <w:r w:rsidR="00C62FA7">
        <w:rPr>
          <w:rFonts w:asciiTheme="minorHAnsi" w:hAnsiTheme="minorHAnsi" w:cstheme="minorHAnsi"/>
          <w:sz w:val="24"/>
          <w:szCs w:val="24"/>
          <w:lang w:val="fr"/>
        </w:rPr>
        <w:t>d</w:t>
      </w:r>
      <w:r w:rsidR="00C62FA7" w:rsidRPr="00C62FA7">
        <w:rPr>
          <w:rFonts w:asciiTheme="minorHAnsi" w:hAnsiTheme="minorHAnsi" w:cstheme="minorHAnsi"/>
          <w:sz w:val="24"/>
          <w:szCs w:val="24"/>
          <w:lang w:val="fr"/>
        </w:rPr>
        <w:t xml:space="preserve">ans </w:t>
      </w:r>
      <w:r w:rsidR="00C62FA7">
        <w:rPr>
          <w:rFonts w:asciiTheme="minorHAnsi" w:hAnsiTheme="minorHAnsi" w:cstheme="minorHAnsi"/>
          <w:sz w:val="24"/>
          <w:szCs w:val="24"/>
          <w:lang w:val="fr"/>
        </w:rPr>
        <w:t xml:space="preserve">les </w:t>
      </w:r>
      <w:r w:rsidR="00C62FA7" w:rsidRPr="00C62FA7">
        <w:rPr>
          <w:rFonts w:asciiTheme="minorHAnsi" w:hAnsiTheme="minorHAnsi" w:cstheme="minorHAnsi"/>
          <w:sz w:val="24"/>
          <w:szCs w:val="24"/>
          <w:lang w:val="fr"/>
        </w:rPr>
        <w:t xml:space="preserve">tissus et fluides </w:t>
      </w:r>
      <w:r w:rsidR="00C62FA7">
        <w:rPr>
          <w:rFonts w:asciiTheme="minorHAnsi" w:hAnsiTheme="minorHAnsi" w:cstheme="minorHAnsi"/>
          <w:sz w:val="24"/>
          <w:szCs w:val="24"/>
          <w:lang w:val="fr"/>
        </w:rPr>
        <w:t>n’es</w:t>
      </w:r>
      <w:r w:rsidR="00C62FA7" w:rsidRPr="00C62FA7">
        <w:rPr>
          <w:rFonts w:asciiTheme="minorHAnsi" w:hAnsiTheme="minorHAnsi" w:cstheme="minorHAnsi"/>
          <w:sz w:val="24"/>
          <w:szCs w:val="24"/>
          <w:lang w:val="fr"/>
        </w:rPr>
        <w:t xml:space="preserve"> pas </w:t>
      </w:r>
      <w:proofErr w:type="gramStart"/>
      <w:r w:rsidR="00C62FA7" w:rsidRPr="00C62FA7">
        <w:rPr>
          <w:rFonts w:asciiTheme="minorHAnsi" w:hAnsiTheme="minorHAnsi" w:cstheme="minorHAnsi"/>
          <w:sz w:val="24"/>
          <w:szCs w:val="24"/>
          <w:lang w:val="fr"/>
        </w:rPr>
        <w:t xml:space="preserve">complète </w:t>
      </w:r>
      <w:r w:rsidR="00C62FA7">
        <w:rPr>
          <w:rFonts w:asciiTheme="minorHAnsi" w:hAnsiTheme="minorHAnsi" w:cstheme="minorHAnsi"/>
          <w:sz w:val="24"/>
          <w:szCs w:val="24"/>
          <w:lang w:val="fr"/>
        </w:rPr>
        <w:t>.</w:t>
      </w:r>
      <w:proofErr w:type="gramEnd"/>
    </w:p>
    <w:p w:rsidR="00DF7155" w:rsidRPr="00DF7155" w:rsidRDefault="00DF7155" w:rsidP="00C62FA7">
      <w:pPr>
        <w:pStyle w:val="EMEAEnBodyText"/>
        <w:autoSpaceDE w:val="0"/>
        <w:autoSpaceDN w:val="0"/>
        <w:adjustRightInd w:val="0"/>
        <w:spacing w:before="0" w:after="0" w:line="312" w:lineRule="auto"/>
        <w:ind w:left="927"/>
        <w:rPr>
          <w:rFonts w:asciiTheme="minorHAnsi" w:hAnsiTheme="minorHAnsi"/>
          <w:sz w:val="24"/>
          <w:szCs w:val="24"/>
          <w:lang w:val="fr-FR"/>
        </w:rPr>
      </w:pPr>
      <w:r w:rsidRPr="00DF7155">
        <w:rPr>
          <w:rFonts w:asciiTheme="minorHAnsi" w:hAnsiTheme="minorHAnsi"/>
          <w:sz w:val="24"/>
          <w:szCs w:val="24"/>
          <w:lang w:val="fr-FR"/>
        </w:rPr>
        <w:t xml:space="preserve">La demi-vie plasmatique moyenne est de 20 heures environ chez les adultes (de très grandes différences sont enregistrées) ; chez les enfants, elle est nettement plus courte. Des études in vitro ont montré une liaison aux protéines plasmatiques d’environ 70 %. La chlorphénamine est métabolisée dans le foie et excrétée dans l’urine, principalement sous forme de </w:t>
      </w:r>
      <w:proofErr w:type="spellStart"/>
      <w:r w:rsidRPr="00DF7155">
        <w:rPr>
          <w:rFonts w:asciiTheme="minorHAnsi" w:hAnsiTheme="minorHAnsi"/>
          <w:sz w:val="24"/>
          <w:szCs w:val="24"/>
          <w:lang w:val="fr-FR"/>
        </w:rPr>
        <w:t>déméthylchlorphénamine</w:t>
      </w:r>
      <w:proofErr w:type="spellEnd"/>
      <w:r w:rsidRPr="00DF7155">
        <w:rPr>
          <w:rFonts w:asciiTheme="minorHAnsi" w:hAnsiTheme="minorHAnsi"/>
          <w:sz w:val="24"/>
          <w:szCs w:val="24"/>
          <w:lang w:val="fr-FR"/>
        </w:rPr>
        <w:t xml:space="preserve"> et de </w:t>
      </w:r>
      <w:proofErr w:type="spellStart"/>
      <w:r w:rsidRPr="00DF7155">
        <w:rPr>
          <w:rFonts w:asciiTheme="minorHAnsi" w:hAnsiTheme="minorHAnsi"/>
          <w:sz w:val="24"/>
          <w:szCs w:val="24"/>
          <w:lang w:val="fr-FR"/>
        </w:rPr>
        <w:t>didesméthylchlorphénamine</w:t>
      </w:r>
      <w:proofErr w:type="spellEnd"/>
      <w:r w:rsidRPr="00DF7155">
        <w:rPr>
          <w:rFonts w:asciiTheme="minorHAnsi" w:hAnsiTheme="minorHAnsi"/>
          <w:sz w:val="24"/>
          <w:szCs w:val="24"/>
          <w:lang w:val="fr-FR"/>
        </w:rPr>
        <w:t>.</w:t>
      </w:r>
    </w:p>
    <w:p w:rsidR="00282B8D" w:rsidRPr="006829C3" w:rsidRDefault="00282B8D" w:rsidP="00817962">
      <w:pPr>
        <w:pStyle w:val="EMEAEnBodyText"/>
        <w:autoSpaceDE w:val="0"/>
        <w:autoSpaceDN w:val="0"/>
        <w:adjustRightInd w:val="0"/>
        <w:spacing w:before="0" w:after="0" w:line="312" w:lineRule="auto"/>
        <w:ind w:left="207"/>
        <w:rPr>
          <w:rFonts w:asciiTheme="minorHAnsi" w:hAnsiTheme="minorHAnsi"/>
          <w:sz w:val="24"/>
          <w:szCs w:val="24"/>
          <w:lang w:val="fr-FR"/>
        </w:rPr>
      </w:pPr>
    </w:p>
    <w:p w:rsidR="00282B8D" w:rsidRPr="006829C3" w:rsidRDefault="00282B8D" w:rsidP="00817962">
      <w:pPr>
        <w:suppressAutoHyphens/>
        <w:spacing w:line="312" w:lineRule="auto"/>
        <w:ind w:left="207" w:hanging="567"/>
        <w:rPr>
          <w:rFonts w:asciiTheme="minorHAnsi" w:hAnsiTheme="minorHAnsi"/>
          <w:b/>
          <w:sz w:val="24"/>
          <w:szCs w:val="24"/>
        </w:rPr>
      </w:pPr>
      <w:r w:rsidRPr="006829C3">
        <w:rPr>
          <w:rFonts w:asciiTheme="minorHAnsi" w:hAnsiTheme="minorHAnsi"/>
          <w:b/>
          <w:sz w:val="24"/>
          <w:szCs w:val="24"/>
        </w:rPr>
        <w:t>5.3</w:t>
      </w:r>
      <w:r w:rsidRPr="006829C3">
        <w:rPr>
          <w:rFonts w:asciiTheme="minorHAnsi" w:hAnsiTheme="minorHAnsi"/>
          <w:b/>
          <w:sz w:val="24"/>
          <w:szCs w:val="24"/>
        </w:rPr>
        <w:tab/>
        <w:t>Données de sécurité préclinique</w:t>
      </w:r>
    </w:p>
    <w:p w:rsidR="00282B8D" w:rsidRPr="00752ED8" w:rsidRDefault="00282B8D" w:rsidP="00817962">
      <w:pPr>
        <w:pStyle w:val="EMEAEnBodyText"/>
        <w:autoSpaceDE w:val="0"/>
        <w:autoSpaceDN w:val="0"/>
        <w:adjustRightInd w:val="0"/>
        <w:spacing w:before="0" w:after="0" w:line="312" w:lineRule="auto"/>
        <w:ind w:left="207"/>
        <w:rPr>
          <w:rFonts w:asciiTheme="minorHAnsi" w:hAnsiTheme="minorHAnsi"/>
          <w:sz w:val="24"/>
          <w:szCs w:val="24"/>
          <w:lang w:val="fr-FR"/>
        </w:rPr>
      </w:pPr>
    </w:p>
    <w:p w:rsidR="00DF7155" w:rsidRPr="00752ED8" w:rsidRDefault="00752ED8" w:rsidP="00817962">
      <w:pPr>
        <w:pStyle w:val="EMEAEnBodyText"/>
        <w:autoSpaceDE w:val="0"/>
        <w:autoSpaceDN w:val="0"/>
        <w:adjustRightInd w:val="0"/>
        <w:spacing w:before="0" w:after="0" w:line="312" w:lineRule="auto"/>
        <w:ind w:left="207"/>
        <w:rPr>
          <w:rFonts w:asciiTheme="minorHAnsi" w:hAnsiTheme="minorHAnsi"/>
          <w:b/>
          <w:sz w:val="24"/>
          <w:szCs w:val="24"/>
          <w:lang w:val="fr-FR"/>
        </w:rPr>
      </w:pPr>
      <w:r w:rsidRPr="00752ED8">
        <w:rPr>
          <w:rFonts w:asciiTheme="minorHAnsi" w:hAnsiTheme="minorHAnsi"/>
          <w:b/>
          <w:sz w:val="24"/>
          <w:szCs w:val="24"/>
          <w:lang w:val="fr-FR"/>
        </w:rPr>
        <w:t>P</w:t>
      </w:r>
      <w:r w:rsidR="00DF7155" w:rsidRPr="00752ED8">
        <w:rPr>
          <w:rFonts w:asciiTheme="minorHAnsi" w:hAnsiTheme="minorHAnsi"/>
          <w:b/>
          <w:sz w:val="24"/>
          <w:szCs w:val="24"/>
          <w:lang w:val="fr-FR"/>
        </w:rPr>
        <w:t>arac</w:t>
      </w:r>
      <w:r w:rsidRPr="00752ED8">
        <w:rPr>
          <w:rFonts w:asciiTheme="minorHAnsi" w:hAnsiTheme="minorHAnsi"/>
          <w:b/>
          <w:sz w:val="24"/>
          <w:szCs w:val="24"/>
          <w:lang w:val="fr-FR"/>
        </w:rPr>
        <w:t>é</w:t>
      </w:r>
      <w:r w:rsidR="00DF7155" w:rsidRPr="00752ED8">
        <w:rPr>
          <w:rFonts w:asciiTheme="minorHAnsi" w:hAnsiTheme="minorHAnsi"/>
          <w:b/>
          <w:sz w:val="24"/>
          <w:szCs w:val="24"/>
          <w:lang w:val="fr-FR"/>
        </w:rPr>
        <w:t>tamol</w:t>
      </w:r>
    </w:p>
    <w:p w:rsidR="00DF7155" w:rsidRPr="00752ED8" w:rsidRDefault="00DF7155" w:rsidP="00817962">
      <w:pPr>
        <w:pStyle w:val="EMEAEnBodyText"/>
        <w:numPr>
          <w:ilvl w:val="0"/>
          <w:numId w:val="18"/>
        </w:numPr>
        <w:autoSpaceDE w:val="0"/>
        <w:autoSpaceDN w:val="0"/>
        <w:adjustRightInd w:val="0"/>
        <w:spacing w:before="0" w:after="0" w:line="312" w:lineRule="auto"/>
        <w:ind w:left="927"/>
        <w:rPr>
          <w:rFonts w:asciiTheme="minorHAnsi" w:hAnsiTheme="minorHAnsi"/>
          <w:sz w:val="24"/>
          <w:szCs w:val="24"/>
          <w:lang w:val="fr-FR"/>
        </w:rPr>
      </w:pPr>
      <w:r w:rsidRPr="00752ED8">
        <w:rPr>
          <w:rFonts w:asciiTheme="minorHAnsi" w:hAnsiTheme="minorHAnsi"/>
          <w:sz w:val="24"/>
          <w:szCs w:val="24"/>
          <w:lang w:val="fr-FR"/>
        </w:rPr>
        <w:t xml:space="preserve">Dans les études de toxicité chez les rats et les souris, des lésions gastro-intestinales, des modifications de la numération globulaire, la dégénérescence des parenchymes hépatiques et rénaux et une nécrose ont été observés. Ces changements sont attribués d’une part au mécanisme d’action et d’autre part au métabolisme du paracétamol. </w:t>
      </w:r>
    </w:p>
    <w:p w:rsidR="00DF7155" w:rsidRPr="00752ED8" w:rsidRDefault="00DF7155" w:rsidP="00817962">
      <w:pPr>
        <w:pStyle w:val="EMEAEnBodyText"/>
        <w:numPr>
          <w:ilvl w:val="0"/>
          <w:numId w:val="18"/>
        </w:numPr>
        <w:autoSpaceDE w:val="0"/>
        <w:autoSpaceDN w:val="0"/>
        <w:adjustRightInd w:val="0"/>
        <w:spacing w:before="0" w:after="0" w:line="312" w:lineRule="auto"/>
        <w:ind w:left="927"/>
        <w:rPr>
          <w:rFonts w:asciiTheme="minorHAnsi" w:hAnsiTheme="minorHAnsi"/>
          <w:sz w:val="24"/>
          <w:szCs w:val="24"/>
          <w:lang w:val="fr-FR"/>
        </w:rPr>
      </w:pPr>
      <w:r w:rsidRPr="00752ED8">
        <w:rPr>
          <w:rFonts w:asciiTheme="minorHAnsi" w:hAnsiTheme="minorHAnsi"/>
          <w:sz w:val="24"/>
          <w:szCs w:val="24"/>
          <w:lang w:val="fr-FR"/>
        </w:rPr>
        <w:t>Des recherches étendues n’ont montré aucun risque génotoxique pertinent du paracétamol à dose thérapeutique.</w:t>
      </w:r>
    </w:p>
    <w:p w:rsidR="00DF7155" w:rsidRPr="00752ED8" w:rsidRDefault="00DF7155" w:rsidP="00817962">
      <w:pPr>
        <w:pStyle w:val="EMEAEnBodyText"/>
        <w:numPr>
          <w:ilvl w:val="0"/>
          <w:numId w:val="18"/>
        </w:numPr>
        <w:autoSpaceDE w:val="0"/>
        <w:autoSpaceDN w:val="0"/>
        <w:adjustRightInd w:val="0"/>
        <w:spacing w:before="0" w:after="0" w:line="312" w:lineRule="auto"/>
        <w:ind w:left="927"/>
        <w:rPr>
          <w:rFonts w:asciiTheme="minorHAnsi" w:hAnsiTheme="minorHAnsi"/>
          <w:sz w:val="24"/>
          <w:szCs w:val="24"/>
          <w:lang w:val="fr-FR"/>
        </w:rPr>
      </w:pPr>
      <w:r w:rsidRPr="00752ED8">
        <w:rPr>
          <w:rFonts w:asciiTheme="minorHAnsi" w:hAnsiTheme="minorHAnsi"/>
          <w:sz w:val="24"/>
          <w:szCs w:val="24"/>
          <w:lang w:val="fr-FR"/>
        </w:rPr>
        <w:t xml:space="preserve">Des études à long terme chez les rats et les souris n’ont montré aucun effet carcinogène pertinent à des doses non hépatotoxiques de paracétamol. </w:t>
      </w:r>
    </w:p>
    <w:p w:rsidR="00DF7155" w:rsidRPr="00752ED8" w:rsidRDefault="00DF7155" w:rsidP="00817962">
      <w:pPr>
        <w:pStyle w:val="EMEAEnBodyText"/>
        <w:numPr>
          <w:ilvl w:val="0"/>
          <w:numId w:val="18"/>
        </w:numPr>
        <w:autoSpaceDE w:val="0"/>
        <w:autoSpaceDN w:val="0"/>
        <w:adjustRightInd w:val="0"/>
        <w:spacing w:before="0" w:after="0" w:line="312" w:lineRule="auto"/>
        <w:ind w:left="927"/>
        <w:rPr>
          <w:rFonts w:asciiTheme="minorHAnsi" w:hAnsiTheme="minorHAnsi"/>
          <w:sz w:val="24"/>
          <w:szCs w:val="24"/>
          <w:lang w:val="fr-FR"/>
        </w:rPr>
      </w:pPr>
      <w:r w:rsidRPr="00752ED8">
        <w:rPr>
          <w:rFonts w:asciiTheme="minorHAnsi" w:hAnsiTheme="minorHAnsi"/>
          <w:sz w:val="24"/>
          <w:szCs w:val="24"/>
          <w:lang w:val="fr-FR"/>
        </w:rPr>
        <w:t>Le paracétamol passe la barrière du placenta.</w:t>
      </w:r>
    </w:p>
    <w:p w:rsidR="00DF7155" w:rsidRDefault="00DF7155" w:rsidP="00817962">
      <w:pPr>
        <w:pStyle w:val="EMEAEnBodyText"/>
        <w:numPr>
          <w:ilvl w:val="0"/>
          <w:numId w:val="18"/>
        </w:numPr>
        <w:autoSpaceDE w:val="0"/>
        <w:autoSpaceDN w:val="0"/>
        <w:adjustRightInd w:val="0"/>
        <w:spacing w:before="0" w:after="0" w:line="312" w:lineRule="auto"/>
        <w:ind w:left="927"/>
        <w:rPr>
          <w:rFonts w:asciiTheme="minorHAnsi" w:hAnsiTheme="minorHAnsi"/>
          <w:sz w:val="24"/>
          <w:szCs w:val="24"/>
          <w:lang w:val="fr-FR"/>
        </w:rPr>
      </w:pPr>
      <w:r w:rsidRPr="00752ED8">
        <w:rPr>
          <w:rFonts w:asciiTheme="minorHAnsi" w:hAnsiTheme="minorHAnsi"/>
          <w:sz w:val="24"/>
          <w:szCs w:val="24"/>
          <w:lang w:val="fr-FR"/>
        </w:rPr>
        <w:t>Les études chez les animaux n’ont montré aucune toxicité sur la reproduction.</w:t>
      </w:r>
    </w:p>
    <w:p w:rsidR="00ED2565" w:rsidRDefault="00ED2565" w:rsidP="00ED2565">
      <w:pPr>
        <w:pStyle w:val="EMEAEnBodyText"/>
        <w:autoSpaceDE w:val="0"/>
        <w:autoSpaceDN w:val="0"/>
        <w:adjustRightInd w:val="0"/>
        <w:spacing w:before="0" w:after="0" w:line="312" w:lineRule="auto"/>
        <w:ind w:left="927"/>
        <w:rPr>
          <w:rFonts w:asciiTheme="minorHAnsi" w:hAnsiTheme="minorHAnsi"/>
          <w:sz w:val="24"/>
          <w:szCs w:val="24"/>
          <w:lang w:val="fr-FR"/>
        </w:rPr>
      </w:pPr>
    </w:p>
    <w:p w:rsidR="00ED2565" w:rsidRPr="00752ED8" w:rsidRDefault="00ED2565" w:rsidP="00ED2565">
      <w:pPr>
        <w:pStyle w:val="EMEAEnBodyText"/>
        <w:autoSpaceDE w:val="0"/>
        <w:autoSpaceDN w:val="0"/>
        <w:adjustRightInd w:val="0"/>
        <w:spacing w:before="0" w:after="0" w:line="312" w:lineRule="auto"/>
        <w:rPr>
          <w:rFonts w:asciiTheme="minorHAnsi" w:hAnsiTheme="minorHAnsi"/>
          <w:b/>
          <w:sz w:val="24"/>
          <w:szCs w:val="24"/>
          <w:lang w:val="fr-FR"/>
        </w:rPr>
      </w:pPr>
      <w:proofErr w:type="spellStart"/>
      <w:r>
        <w:rPr>
          <w:rFonts w:asciiTheme="minorHAnsi" w:hAnsiTheme="minorHAnsi"/>
          <w:b/>
          <w:sz w:val="24"/>
          <w:szCs w:val="24"/>
          <w:lang w:val="fr-FR"/>
        </w:rPr>
        <w:t>P</w:t>
      </w:r>
      <w:r w:rsidRPr="00752ED8">
        <w:rPr>
          <w:rFonts w:asciiTheme="minorHAnsi" w:hAnsiTheme="minorHAnsi"/>
          <w:b/>
          <w:sz w:val="24"/>
          <w:szCs w:val="24"/>
          <w:lang w:val="fr-FR"/>
        </w:rPr>
        <w:t>hényléphrine</w:t>
      </w:r>
      <w:proofErr w:type="spellEnd"/>
      <w:r w:rsidRPr="00ED2565">
        <w:rPr>
          <w:rFonts w:asciiTheme="minorHAnsi" w:hAnsiTheme="minorHAnsi"/>
          <w:b/>
          <w:sz w:val="24"/>
          <w:szCs w:val="24"/>
          <w:lang w:val="fr-FR"/>
        </w:rPr>
        <w:t xml:space="preserve"> </w:t>
      </w:r>
      <w:r>
        <w:rPr>
          <w:rFonts w:asciiTheme="minorHAnsi" w:hAnsiTheme="minorHAnsi"/>
          <w:b/>
          <w:sz w:val="24"/>
          <w:szCs w:val="24"/>
          <w:lang w:val="fr-FR"/>
        </w:rPr>
        <w:t xml:space="preserve">et </w:t>
      </w:r>
      <w:proofErr w:type="spellStart"/>
      <w:r w:rsidRPr="00752ED8">
        <w:rPr>
          <w:rFonts w:asciiTheme="minorHAnsi" w:hAnsiTheme="minorHAnsi"/>
          <w:b/>
          <w:sz w:val="24"/>
          <w:szCs w:val="24"/>
          <w:lang w:val="fr-FR"/>
        </w:rPr>
        <w:t>Chlorphénamine</w:t>
      </w:r>
      <w:proofErr w:type="spellEnd"/>
      <w:r w:rsidRPr="00752ED8">
        <w:rPr>
          <w:rFonts w:asciiTheme="minorHAnsi" w:hAnsiTheme="minorHAnsi"/>
          <w:b/>
          <w:sz w:val="24"/>
          <w:szCs w:val="24"/>
          <w:lang w:val="fr-FR"/>
        </w:rPr>
        <w:t xml:space="preserve"> </w:t>
      </w:r>
    </w:p>
    <w:p w:rsidR="009F18BA" w:rsidRPr="009F18BA" w:rsidRDefault="009F18BA" w:rsidP="009F18BA">
      <w:pPr>
        <w:pStyle w:val="EMEAEnBodyText"/>
        <w:numPr>
          <w:ilvl w:val="0"/>
          <w:numId w:val="18"/>
        </w:numPr>
        <w:autoSpaceDE w:val="0"/>
        <w:autoSpaceDN w:val="0"/>
        <w:adjustRightInd w:val="0"/>
        <w:spacing w:before="0" w:after="0" w:line="312" w:lineRule="auto"/>
        <w:ind w:left="927"/>
        <w:rPr>
          <w:rFonts w:asciiTheme="minorHAnsi" w:hAnsiTheme="minorHAnsi"/>
          <w:sz w:val="24"/>
          <w:szCs w:val="24"/>
          <w:lang w:val="fr-FR"/>
        </w:rPr>
      </w:pPr>
      <w:r w:rsidRPr="009F18BA">
        <w:rPr>
          <w:rFonts w:asciiTheme="minorHAnsi" w:hAnsiTheme="minorHAnsi"/>
          <w:sz w:val="24"/>
          <w:szCs w:val="24"/>
          <w:lang w:val="fr-FR"/>
        </w:rPr>
        <w:t>Les données</w:t>
      </w:r>
      <w:bookmarkStart w:id="0" w:name="_GoBack"/>
      <w:bookmarkEnd w:id="0"/>
      <w:r w:rsidRPr="009F18BA">
        <w:rPr>
          <w:rFonts w:asciiTheme="minorHAnsi" w:hAnsiTheme="minorHAnsi"/>
          <w:sz w:val="24"/>
          <w:szCs w:val="24"/>
          <w:lang w:val="fr-FR"/>
        </w:rPr>
        <w:t xml:space="preserve"> non-cliniques issues des études conventionnelles de pharmacologie de sécurité, toxicologie en administration répétée, </w:t>
      </w:r>
      <w:proofErr w:type="spellStart"/>
      <w:r w:rsidRPr="009F18BA">
        <w:rPr>
          <w:rFonts w:asciiTheme="minorHAnsi" w:hAnsiTheme="minorHAnsi"/>
          <w:sz w:val="24"/>
          <w:szCs w:val="24"/>
          <w:lang w:val="fr-FR"/>
        </w:rPr>
        <w:t>génotoxicité</w:t>
      </w:r>
      <w:proofErr w:type="spellEnd"/>
      <w:r w:rsidRPr="009F18BA">
        <w:rPr>
          <w:rFonts w:asciiTheme="minorHAnsi" w:hAnsiTheme="minorHAnsi"/>
          <w:sz w:val="24"/>
          <w:szCs w:val="24"/>
          <w:lang w:val="fr-FR"/>
        </w:rPr>
        <w:t>, cancérogénèse, et des fonctions de reproduction et de développement, n’ont pas révélé de risque particulier pour l’homme.</w:t>
      </w:r>
    </w:p>
    <w:p w:rsidR="00ED2565" w:rsidRPr="00752ED8" w:rsidRDefault="00ED2565" w:rsidP="00ED2565">
      <w:pPr>
        <w:pStyle w:val="EMEAEnBodyText"/>
        <w:autoSpaceDE w:val="0"/>
        <w:autoSpaceDN w:val="0"/>
        <w:adjustRightInd w:val="0"/>
        <w:spacing w:before="0" w:after="0" w:line="312" w:lineRule="auto"/>
        <w:rPr>
          <w:rFonts w:asciiTheme="minorHAnsi" w:hAnsiTheme="minorHAnsi"/>
          <w:sz w:val="24"/>
          <w:szCs w:val="24"/>
          <w:lang w:val="fr-FR"/>
        </w:rPr>
      </w:pPr>
    </w:p>
    <w:p w:rsidR="00437D98" w:rsidRDefault="00437D98">
      <w:pPr>
        <w:spacing w:after="160" w:line="259" w:lineRule="auto"/>
        <w:rPr>
          <w:rFonts w:asciiTheme="minorHAnsi" w:hAnsiTheme="minorHAnsi"/>
          <w:sz w:val="24"/>
          <w:szCs w:val="24"/>
        </w:rPr>
      </w:pPr>
      <w:r>
        <w:rPr>
          <w:rFonts w:asciiTheme="minorHAnsi" w:hAnsiTheme="minorHAnsi"/>
          <w:sz w:val="24"/>
          <w:szCs w:val="24"/>
        </w:rPr>
        <w:br w:type="page"/>
      </w:r>
    </w:p>
    <w:p w:rsidR="00282B8D" w:rsidRPr="006829C3" w:rsidRDefault="00282B8D" w:rsidP="00437D98">
      <w:pPr>
        <w:pStyle w:val="EMEAEnBodyText"/>
        <w:autoSpaceDE w:val="0"/>
        <w:autoSpaceDN w:val="0"/>
        <w:adjustRightInd w:val="0"/>
        <w:spacing w:before="0" w:after="0" w:line="312" w:lineRule="auto"/>
        <w:ind w:left="708"/>
        <w:rPr>
          <w:rFonts w:asciiTheme="minorHAnsi" w:hAnsiTheme="minorHAnsi"/>
          <w:sz w:val="24"/>
          <w:szCs w:val="24"/>
          <w:lang w:val="fr-FR"/>
        </w:rPr>
      </w:pPr>
    </w:p>
    <w:p w:rsidR="00282B8D" w:rsidRPr="00ED2565" w:rsidRDefault="00282B8D" w:rsidP="00437D98">
      <w:pPr>
        <w:suppressAutoHyphens/>
        <w:spacing w:line="312" w:lineRule="auto"/>
        <w:ind w:left="708" w:hanging="567"/>
        <w:rPr>
          <w:rFonts w:asciiTheme="minorHAnsi" w:hAnsiTheme="minorHAnsi"/>
          <w:b/>
          <w:sz w:val="24"/>
          <w:szCs w:val="24"/>
        </w:rPr>
      </w:pPr>
      <w:r w:rsidRPr="00ED2565">
        <w:rPr>
          <w:rFonts w:asciiTheme="minorHAnsi" w:hAnsiTheme="minorHAnsi"/>
          <w:b/>
          <w:sz w:val="24"/>
          <w:szCs w:val="24"/>
        </w:rPr>
        <w:t>6.</w:t>
      </w:r>
      <w:r w:rsidRPr="00ED2565">
        <w:rPr>
          <w:rFonts w:asciiTheme="minorHAnsi" w:hAnsiTheme="minorHAnsi"/>
          <w:b/>
          <w:sz w:val="24"/>
          <w:szCs w:val="24"/>
        </w:rPr>
        <w:tab/>
        <w:t>DONN</w:t>
      </w:r>
      <w:r w:rsidR="00461068" w:rsidRPr="00ED2565">
        <w:rPr>
          <w:rFonts w:asciiTheme="minorHAnsi" w:hAnsiTheme="minorHAnsi"/>
          <w:b/>
          <w:sz w:val="24"/>
          <w:szCs w:val="24"/>
        </w:rPr>
        <w:t>É</w:t>
      </w:r>
      <w:r w:rsidRPr="00ED2565">
        <w:rPr>
          <w:rFonts w:asciiTheme="minorHAnsi" w:hAnsiTheme="minorHAnsi"/>
          <w:b/>
          <w:sz w:val="24"/>
          <w:szCs w:val="24"/>
        </w:rPr>
        <w:t>ES PHARMACEUTIQUES</w:t>
      </w:r>
    </w:p>
    <w:p w:rsidR="007A2718" w:rsidRPr="00ED2565" w:rsidRDefault="007A2718" w:rsidP="00437D98">
      <w:pPr>
        <w:suppressAutoHyphens/>
        <w:spacing w:line="312" w:lineRule="auto"/>
        <w:ind w:left="708" w:hanging="567"/>
        <w:rPr>
          <w:rFonts w:asciiTheme="minorHAnsi" w:hAnsiTheme="minorHAnsi"/>
          <w:b/>
          <w:sz w:val="24"/>
          <w:szCs w:val="24"/>
        </w:rPr>
      </w:pPr>
    </w:p>
    <w:p w:rsidR="00282B8D" w:rsidRPr="00ED2565" w:rsidRDefault="00282B8D" w:rsidP="00437D98">
      <w:pPr>
        <w:suppressAutoHyphens/>
        <w:spacing w:line="312" w:lineRule="auto"/>
        <w:ind w:left="708" w:hanging="567"/>
        <w:rPr>
          <w:rFonts w:asciiTheme="minorHAnsi" w:hAnsiTheme="minorHAnsi"/>
          <w:b/>
          <w:sz w:val="24"/>
          <w:szCs w:val="24"/>
        </w:rPr>
      </w:pPr>
      <w:r w:rsidRPr="00ED2565">
        <w:rPr>
          <w:rFonts w:asciiTheme="minorHAnsi" w:hAnsiTheme="minorHAnsi"/>
          <w:b/>
          <w:sz w:val="24"/>
          <w:szCs w:val="24"/>
        </w:rPr>
        <w:t>6.1</w:t>
      </w:r>
      <w:r w:rsidRPr="00ED2565">
        <w:rPr>
          <w:rFonts w:asciiTheme="minorHAnsi" w:hAnsiTheme="minorHAnsi"/>
          <w:b/>
          <w:sz w:val="24"/>
          <w:szCs w:val="24"/>
        </w:rPr>
        <w:tab/>
        <w:t>Liste des excipients</w:t>
      </w:r>
    </w:p>
    <w:p w:rsidR="00E939F3" w:rsidRPr="00ED2565" w:rsidRDefault="00E939F3" w:rsidP="00817962">
      <w:pPr>
        <w:suppressAutoHyphens/>
        <w:spacing w:line="312" w:lineRule="auto"/>
        <w:ind w:left="207" w:hanging="567"/>
        <w:rPr>
          <w:rFonts w:asciiTheme="minorHAnsi" w:hAnsiTheme="minorHAnsi"/>
          <w:sz w:val="24"/>
          <w:szCs w:val="24"/>
        </w:rPr>
      </w:pPr>
    </w:p>
    <w:p w:rsidR="00E939F3" w:rsidRPr="00ED2565" w:rsidRDefault="00ED2565" w:rsidP="00817962">
      <w:pPr>
        <w:pStyle w:val="EMEAEnBodyText"/>
        <w:autoSpaceDE w:val="0"/>
        <w:autoSpaceDN w:val="0"/>
        <w:adjustRightInd w:val="0"/>
        <w:spacing w:before="0" w:after="0" w:line="312" w:lineRule="auto"/>
        <w:ind w:left="207"/>
        <w:rPr>
          <w:rFonts w:asciiTheme="minorHAnsi" w:hAnsiTheme="minorHAnsi"/>
          <w:sz w:val="24"/>
          <w:szCs w:val="24"/>
          <w:u w:val="single"/>
          <w:lang w:val="fr-FR"/>
        </w:rPr>
      </w:pPr>
      <w:r w:rsidRPr="00ED2565">
        <w:rPr>
          <w:rFonts w:asciiTheme="minorHAnsi" w:hAnsiTheme="minorHAnsi"/>
          <w:sz w:val="24"/>
          <w:szCs w:val="24"/>
          <w:u w:val="single"/>
          <w:lang w:val="fr-FR"/>
        </w:rPr>
        <w:t>Noyau du comprimé</w:t>
      </w:r>
    </w:p>
    <w:p w:rsidR="00E939F3" w:rsidRPr="00ED2565" w:rsidRDefault="00E939F3" w:rsidP="00817962">
      <w:pPr>
        <w:pStyle w:val="EMEAEnBodyText"/>
        <w:numPr>
          <w:ilvl w:val="0"/>
          <w:numId w:val="19"/>
        </w:numPr>
        <w:autoSpaceDE w:val="0"/>
        <w:autoSpaceDN w:val="0"/>
        <w:adjustRightInd w:val="0"/>
        <w:spacing w:before="0" w:after="0" w:line="312" w:lineRule="auto"/>
        <w:ind w:left="927"/>
        <w:rPr>
          <w:rFonts w:asciiTheme="minorHAnsi" w:hAnsiTheme="minorHAnsi"/>
          <w:sz w:val="24"/>
          <w:szCs w:val="24"/>
          <w:lang w:val="fr-FR"/>
        </w:rPr>
      </w:pPr>
      <w:r w:rsidRPr="00ED2565">
        <w:rPr>
          <w:rFonts w:asciiTheme="minorHAnsi" w:hAnsiTheme="minorHAnsi"/>
          <w:sz w:val="24"/>
          <w:szCs w:val="24"/>
          <w:lang w:val="fr-FR"/>
        </w:rPr>
        <w:t xml:space="preserve">Povidone </w:t>
      </w:r>
    </w:p>
    <w:p w:rsidR="00ED2565" w:rsidRDefault="00E939F3" w:rsidP="003A299C">
      <w:pPr>
        <w:pStyle w:val="EMEAEnBodyText"/>
        <w:numPr>
          <w:ilvl w:val="0"/>
          <w:numId w:val="19"/>
        </w:numPr>
        <w:autoSpaceDE w:val="0"/>
        <w:autoSpaceDN w:val="0"/>
        <w:adjustRightInd w:val="0"/>
        <w:spacing w:before="0" w:after="0" w:line="312" w:lineRule="auto"/>
        <w:ind w:left="927"/>
        <w:rPr>
          <w:rFonts w:asciiTheme="minorHAnsi" w:hAnsiTheme="minorHAnsi"/>
          <w:sz w:val="24"/>
          <w:szCs w:val="24"/>
          <w:lang w:val="fr-FR"/>
        </w:rPr>
      </w:pPr>
      <w:r w:rsidRPr="00ED2565">
        <w:rPr>
          <w:rFonts w:asciiTheme="minorHAnsi" w:hAnsiTheme="minorHAnsi"/>
          <w:sz w:val="24"/>
          <w:szCs w:val="24"/>
          <w:lang w:val="fr-FR"/>
        </w:rPr>
        <w:t>Silic</w:t>
      </w:r>
      <w:r w:rsidR="00ED2565" w:rsidRPr="00ED2565">
        <w:rPr>
          <w:rFonts w:asciiTheme="minorHAnsi" w:hAnsiTheme="minorHAnsi"/>
          <w:sz w:val="24"/>
          <w:szCs w:val="24"/>
          <w:lang w:val="fr-FR"/>
        </w:rPr>
        <w:t>e colloïdale</w:t>
      </w:r>
    </w:p>
    <w:p w:rsidR="00E939F3" w:rsidRPr="00ED2565" w:rsidRDefault="00ED2565" w:rsidP="003A299C">
      <w:pPr>
        <w:pStyle w:val="EMEAEnBodyText"/>
        <w:numPr>
          <w:ilvl w:val="0"/>
          <w:numId w:val="19"/>
        </w:numPr>
        <w:autoSpaceDE w:val="0"/>
        <w:autoSpaceDN w:val="0"/>
        <w:adjustRightInd w:val="0"/>
        <w:spacing w:before="0" w:after="0" w:line="312" w:lineRule="auto"/>
        <w:ind w:left="927"/>
        <w:rPr>
          <w:rFonts w:asciiTheme="minorHAnsi" w:hAnsiTheme="minorHAnsi"/>
          <w:sz w:val="24"/>
          <w:szCs w:val="24"/>
          <w:lang w:val="fr-FR"/>
        </w:rPr>
      </w:pPr>
      <w:r>
        <w:rPr>
          <w:rFonts w:asciiTheme="minorHAnsi" w:hAnsiTheme="minorHAnsi"/>
          <w:sz w:val="24"/>
          <w:szCs w:val="24"/>
          <w:lang w:val="fr-FR"/>
        </w:rPr>
        <w:t>C</w:t>
      </w:r>
      <w:r w:rsidR="00E939F3" w:rsidRPr="00ED2565">
        <w:rPr>
          <w:rFonts w:asciiTheme="minorHAnsi" w:hAnsiTheme="minorHAnsi"/>
          <w:sz w:val="24"/>
          <w:szCs w:val="24"/>
          <w:lang w:val="fr-FR"/>
        </w:rPr>
        <w:t xml:space="preserve">ellulose </w:t>
      </w:r>
      <w:r>
        <w:rPr>
          <w:rFonts w:asciiTheme="minorHAnsi" w:hAnsiTheme="minorHAnsi"/>
          <w:sz w:val="24"/>
          <w:szCs w:val="24"/>
          <w:lang w:val="fr-FR"/>
        </w:rPr>
        <w:t xml:space="preserve"> microcristalline</w:t>
      </w:r>
    </w:p>
    <w:p w:rsidR="00ED2565" w:rsidRDefault="00ED2565" w:rsidP="000F4520">
      <w:pPr>
        <w:pStyle w:val="EMEAEnBodyText"/>
        <w:numPr>
          <w:ilvl w:val="0"/>
          <w:numId w:val="19"/>
        </w:numPr>
        <w:autoSpaceDE w:val="0"/>
        <w:autoSpaceDN w:val="0"/>
        <w:adjustRightInd w:val="0"/>
        <w:spacing w:before="0" w:after="0" w:line="312" w:lineRule="auto"/>
        <w:ind w:left="927"/>
        <w:rPr>
          <w:rFonts w:asciiTheme="minorHAnsi" w:hAnsiTheme="minorHAnsi"/>
          <w:sz w:val="24"/>
          <w:szCs w:val="24"/>
          <w:lang w:val="fr-FR"/>
        </w:rPr>
      </w:pPr>
      <w:r w:rsidRPr="00ED2565">
        <w:rPr>
          <w:rFonts w:asciiTheme="minorHAnsi" w:hAnsiTheme="minorHAnsi"/>
          <w:sz w:val="24"/>
          <w:szCs w:val="24"/>
          <w:lang w:val="fr-FR"/>
        </w:rPr>
        <w:t>Amidon de mais</w:t>
      </w:r>
    </w:p>
    <w:p w:rsidR="00E939F3" w:rsidRPr="00ED2565" w:rsidRDefault="00ED2565" w:rsidP="000F4520">
      <w:pPr>
        <w:pStyle w:val="EMEAEnBodyText"/>
        <w:numPr>
          <w:ilvl w:val="0"/>
          <w:numId w:val="19"/>
        </w:numPr>
        <w:autoSpaceDE w:val="0"/>
        <w:autoSpaceDN w:val="0"/>
        <w:adjustRightInd w:val="0"/>
        <w:spacing w:before="0" w:after="0" w:line="312" w:lineRule="auto"/>
        <w:ind w:left="927"/>
        <w:rPr>
          <w:rFonts w:asciiTheme="minorHAnsi" w:hAnsiTheme="minorHAnsi"/>
          <w:sz w:val="24"/>
          <w:szCs w:val="24"/>
          <w:lang w:val="fr-FR"/>
        </w:rPr>
      </w:pPr>
      <w:r>
        <w:rPr>
          <w:rFonts w:asciiTheme="minorHAnsi" w:hAnsiTheme="minorHAnsi"/>
          <w:sz w:val="24"/>
          <w:szCs w:val="24"/>
          <w:lang w:val="fr-FR"/>
        </w:rPr>
        <w:t>Stéarate de m</w:t>
      </w:r>
      <w:r w:rsidRPr="00ED2565">
        <w:rPr>
          <w:rFonts w:asciiTheme="minorHAnsi" w:hAnsiTheme="minorHAnsi"/>
          <w:sz w:val="24"/>
          <w:szCs w:val="24"/>
          <w:lang w:val="fr-FR"/>
        </w:rPr>
        <w:t>agnésium</w:t>
      </w:r>
      <w:r w:rsidR="00E939F3" w:rsidRPr="00ED2565">
        <w:rPr>
          <w:rFonts w:asciiTheme="minorHAnsi" w:hAnsiTheme="minorHAnsi"/>
          <w:sz w:val="24"/>
          <w:szCs w:val="24"/>
          <w:lang w:val="fr-FR"/>
        </w:rPr>
        <w:t xml:space="preserve"> </w:t>
      </w:r>
    </w:p>
    <w:p w:rsidR="00E939F3" w:rsidRPr="00ED2565" w:rsidRDefault="00ED2565" w:rsidP="00817962">
      <w:pPr>
        <w:pStyle w:val="EMEAEnBodyText"/>
        <w:autoSpaceDE w:val="0"/>
        <w:autoSpaceDN w:val="0"/>
        <w:adjustRightInd w:val="0"/>
        <w:spacing w:before="0" w:after="0" w:line="312" w:lineRule="auto"/>
        <w:ind w:left="207"/>
        <w:rPr>
          <w:rFonts w:asciiTheme="minorHAnsi" w:hAnsiTheme="minorHAnsi"/>
          <w:sz w:val="24"/>
          <w:szCs w:val="24"/>
          <w:u w:val="single"/>
          <w:lang w:val="fr-FR"/>
        </w:rPr>
      </w:pPr>
      <w:r w:rsidRPr="00ED2565">
        <w:rPr>
          <w:rFonts w:asciiTheme="minorHAnsi" w:hAnsiTheme="minorHAnsi"/>
          <w:sz w:val="24"/>
          <w:szCs w:val="24"/>
          <w:u w:val="single"/>
          <w:lang w:val="fr-FR"/>
        </w:rPr>
        <w:t>Pellicule</w:t>
      </w:r>
      <w:r w:rsidR="00E939F3" w:rsidRPr="00ED2565">
        <w:rPr>
          <w:rFonts w:asciiTheme="minorHAnsi" w:hAnsiTheme="minorHAnsi"/>
          <w:sz w:val="24"/>
          <w:szCs w:val="24"/>
          <w:u w:val="single"/>
          <w:lang w:val="fr-FR"/>
        </w:rPr>
        <w:t xml:space="preserve"> </w:t>
      </w:r>
    </w:p>
    <w:p w:rsidR="00E939F3" w:rsidRPr="00ED2565" w:rsidRDefault="00E939F3" w:rsidP="00817962">
      <w:pPr>
        <w:pStyle w:val="EMEAEnBodyText"/>
        <w:numPr>
          <w:ilvl w:val="0"/>
          <w:numId w:val="20"/>
        </w:numPr>
        <w:autoSpaceDE w:val="0"/>
        <w:autoSpaceDN w:val="0"/>
        <w:adjustRightInd w:val="0"/>
        <w:spacing w:before="0" w:after="0" w:line="312" w:lineRule="auto"/>
        <w:ind w:left="927"/>
        <w:rPr>
          <w:rFonts w:asciiTheme="minorHAnsi" w:hAnsiTheme="minorHAnsi"/>
          <w:sz w:val="24"/>
          <w:szCs w:val="24"/>
          <w:lang w:val="fr-FR"/>
        </w:rPr>
      </w:pPr>
      <w:proofErr w:type="spellStart"/>
      <w:r w:rsidRPr="00ED2565">
        <w:rPr>
          <w:rFonts w:asciiTheme="minorHAnsi" w:hAnsiTheme="minorHAnsi"/>
          <w:sz w:val="24"/>
          <w:szCs w:val="24"/>
          <w:lang w:val="fr-FR"/>
        </w:rPr>
        <w:t>Hypromellose</w:t>
      </w:r>
      <w:proofErr w:type="spellEnd"/>
      <w:r w:rsidR="00ED2565">
        <w:rPr>
          <w:rFonts w:asciiTheme="minorHAnsi" w:hAnsiTheme="minorHAnsi"/>
          <w:sz w:val="24"/>
          <w:szCs w:val="24"/>
          <w:lang w:val="fr-FR"/>
        </w:rPr>
        <w:t xml:space="preserve"> (E464)</w:t>
      </w:r>
      <w:r w:rsidRPr="00ED2565">
        <w:rPr>
          <w:rFonts w:asciiTheme="minorHAnsi" w:hAnsiTheme="minorHAnsi"/>
          <w:sz w:val="24"/>
          <w:szCs w:val="24"/>
          <w:lang w:val="fr-FR"/>
        </w:rPr>
        <w:t xml:space="preserve">, </w:t>
      </w:r>
    </w:p>
    <w:p w:rsidR="00E939F3" w:rsidRPr="00ED2565" w:rsidRDefault="00E939F3" w:rsidP="00817962">
      <w:pPr>
        <w:pStyle w:val="EMEAEnBodyText"/>
        <w:numPr>
          <w:ilvl w:val="0"/>
          <w:numId w:val="20"/>
        </w:numPr>
        <w:autoSpaceDE w:val="0"/>
        <w:autoSpaceDN w:val="0"/>
        <w:adjustRightInd w:val="0"/>
        <w:spacing w:before="0" w:after="0" w:line="312" w:lineRule="auto"/>
        <w:ind w:left="927"/>
        <w:rPr>
          <w:rFonts w:asciiTheme="minorHAnsi" w:hAnsiTheme="minorHAnsi"/>
          <w:sz w:val="24"/>
          <w:szCs w:val="24"/>
          <w:lang w:val="fr-FR"/>
        </w:rPr>
      </w:pPr>
      <w:proofErr w:type="spellStart"/>
      <w:r w:rsidRPr="00ED2565">
        <w:rPr>
          <w:rFonts w:asciiTheme="minorHAnsi" w:hAnsiTheme="minorHAnsi"/>
          <w:sz w:val="24"/>
          <w:szCs w:val="24"/>
          <w:lang w:val="fr-FR"/>
        </w:rPr>
        <w:t>Triac</w:t>
      </w:r>
      <w:r w:rsidR="00ED2565">
        <w:rPr>
          <w:rFonts w:asciiTheme="minorHAnsi" w:hAnsiTheme="minorHAnsi"/>
          <w:sz w:val="24"/>
          <w:szCs w:val="24"/>
          <w:lang w:val="fr-FR"/>
        </w:rPr>
        <w:t>é</w:t>
      </w:r>
      <w:r w:rsidRPr="00ED2565">
        <w:rPr>
          <w:rFonts w:asciiTheme="minorHAnsi" w:hAnsiTheme="minorHAnsi"/>
          <w:sz w:val="24"/>
          <w:szCs w:val="24"/>
          <w:lang w:val="fr-FR"/>
        </w:rPr>
        <w:t>tin</w:t>
      </w:r>
      <w:r w:rsidR="007375FA">
        <w:rPr>
          <w:rFonts w:asciiTheme="minorHAnsi" w:hAnsiTheme="minorHAnsi"/>
          <w:sz w:val="24"/>
          <w:szCs w:val="24"/>
          <w:lang w:val="fr-FR"/>
        </w:rPr>
        <w:t>e</w:t>
      </w:r>
      <w:proofErr w:type="spellEnd"/>
      <w:r w:rsidRPr="00ED2565">
        <w:rPr>
          <w:rFonts w:asciiTheme="minorHAnsi" w:hAnsiTheme="minorHAnsi"/>
          <w:sz w:val="24"/>
          <w:szCs w:val="24"/>
          <w:lang w:val="fr-FR"/>
        </w:rPr>
        <w:t xml:space="preserve"> (E1518),</w:t>
      </w:r>
    </w:p>
    <w:p w:rsidR="00E939F3" w:rsidRPr="00ED2565" w:rsidRDefault="00E939F3" w:rsidP="00817962">
      <w:pPr>
        <w:pStyle w:val="EMEAEnBodyText"/>
        <w:numPr>
          <w:ilvl w:val="0"/>
          <w:numId w:val="20"/>
        </w:numPr>
        <w:autoSpaceDE w:val="0"/>
        <w:autoSpaceDN w:val="0"/>
        <w:adjustRightInd w:val="0"/>
        <w:spacing w:before="0" w:after="0" w:line="312" w:lineRule="auto"/>
        <w:ind w:left="927"/>
        <w:rPr>
          <w:rFonts w:asciiTheme="minorHAnsi" w:hAnsiTheme="minorHAnsi"/>
          <w:sz w:val="24"/>
          <w:szCs w:val="24"/>
          <w:lang w:val="fr-FR"/>
        </w:rPr>
      </w:pPr>
      <w:r w:rsidRPr="00ED2565">
        <w:rPr>
          <w:rFonts w:asciiTheme="minorHAnsi" w:hAnsiTheme="minorHAnsi"/>
          <w:sz w:val="24"/>
          <w:szCs w:val="24"/>
          <w:lang w:val="fr-FR"/>
        </w:rPr>
        <w:t xml:space="preserve">Indigotine (E132) </w:t>
      </w:r>
    </w:p>
    <w:p w:rsidR="00E939F3" w:rsidRPr="00ED2565" w:rsidRDefault="00ED2565" w:rsidP="00817962">
      <w:pPr>
        <w:pStyle w:val="EMEAEnBodyText"/>
        <w:numPr>
          <w:ilvl w:val="0"/>
          <w:numId w:val="20"/>
        </w:numPr>
        <w:autoSpaceDE w:val="0"/>
        <w:autoSpaceDN w:val="0"/>
        <w:adjustRightInd w:val="0"/>
        <w:spacing w:before="0" w:after="0" w:line="312" w:lineRule="auto"/>
        <w:ind w:left="927"/>
        <w:rPr>
          <w:rFonts w:asciiTheme="minorHAnsi" w:hAnsiTheme="minorHAnsi"/>
          <w:sz w:val="24"/>
          <w:szCs w:val="24"/>
          <w:lang w:val="fr-FR"/>
        </w:rPr>
      </w:pPr>
      <w:r>
        <w:rPr>
          <w:rFonts w:asciiTheme="minorHAnsi" w:hAnsiTheme="minorHAnsi"/>
          <w:sz w:val="24"/>
          <w:szCs w:val="24"/>
          <w:lang w:val="fr-FR"/>
        </w:rPr>
        <w:t>Dioxyde de t</w:t>
      </w:r>
      <w:r w:rsidR="00E939F3" w:rsidRPr="00ED2565">
        <w:rPr>
          <w:rFonts w:asciiTheme="minorHAnsi" w:hAnsiTheme="minorHAnsi"/>
          <w:sz w:val="24"/>
          <w:szCs w:val="24"/>
          <w:lang w:val="fr-FR"/>
        </w:rPr>
        <w:t>itan</w:t>
      </w:r>
      <w:r>
        <w:rPr>
          <w:rFonts w:asciiTheme="minorHAnsi" w:hAnsiTheme="minorHAnsi"/>
          <w:sz w:val="24"/>
          <w:szCs w:val="24"/>
          <w:lang w:val="fr-FR"/>
        </w:rPr>
        <w:t>e</w:t>
      </w:r>
      <w:r w:rsidR="00E939F3" w:rsidRPr="00ED2565">
        <w:rPr>
          <w:rFonts w:asciiTheme="minorHAnsi" w:hAnsiTheme="minorHAnsi"/>
          <w:sz w:val="24"/>
          <w:szCs w:val="24"/>
          <w:lang w:val="fr-FR"/>
        </w:rPr>
        <w:t xml:space="preserve"> (E171).</w:t>
      </w:r>
    </w:p>
    <w:p w:rsidR="007A2718" w:rsidRPr="00ED2565" w:rsidRDefault="007A2718" w:rsidP="00817962">
      <w:pPr>
        <w:suppressAutoHyphens/>
        <w:spacing w:line="312" w:lineRule="auto"/>
        <w:ind w:left="207" w:hanging="567"/>
        <w:rPr>
          <w:rFonts w:asciiTheme="minorHAnsi" w:hAnsiTheme="minorHAnsi"/>
          <w:b/>
          <w:sz w:val="24"/>
          <w:szCs w:val="24"/>
        </w:rPr>
      </w:pPr>
    </w:p>
    <w:p w:rsidR="00282B8D" w:rsidRPr="00ED2565" w:rsidRDefault="00282B8D" w:rsidP="00437D98">
      <w:pPr>
        <w:suppressAutoHyphens/>
        <w:spacing w:line="312" w:lineRule="auto"/>
        <w:ind w:left="567" w:hanging="567"/>
        <w:rPr>
          <w:rFonts w:asciiTheme="minorHAnsi" w:hAnsiTheme="minorHAnsi"/>
          <w:b/>
          <w:sz w:val="24"/>
          <w:szCs w:val="24"/>
        </w:rPr>
      </w:pPr>
      <w:r w:rsidRPr="00ED2565">
        <w:rPr>
          <w:rFonts w:asciiTheme="minorHAnsi" w:hAnsiTheme="minorHAnsi"/>
          <w:b/>
          <w:sz w:val="24"/>
          <w:szCs w:val="24"/>
        </w:rPr>
        <w:t>6.2</w:t>
      </w:r>
      <w:r w:rsidRPr="00ED2565">
        <w:rPr>
          <w:rFonts w:asciiTheme="minorHAnsi" w:hAnsiTheme="minorHAnsi"/>
          <w:b/>
          <w:sz w:val="24"/>
          <w:szCs w:val="24"/>
        </w:rPr>
        <w:tab/>
        <w:t>Incompatibilités</w:t>
      </w:r>
    </w:p>
    <w:p w:rsidR="00282B8D" w:rsidRPr="00ED2565" w:rsidRDefault="00CC1602" w:rsidP="00437D98">
      <w:pPr>
        <w:suppressAutoHyphens/>
        <w:spacing w:line="312" w:lineRule="auto"/>
        <w:rPr>
          <w:rFonts w:asciiTheme="minorHAnsi" w:hAnsiTheme="minorHAnsi"/>
          <w:sz w:val="24"/>
          <w:szCs w:val="24"/>
        </w:rPr>
      </w:pPr>
      <w:r>
        <w:rPr>
          <w:rFonts w:asciiTheme="minorHAnsi" w:hAnsiTheme="minorHAnsi"/>
          <w:sz w:val="24"/>
          <w:szCs w:val="24"/>
        </w:rPr>
        <w:tab/>
        <w:t>Sans objet</w:t>
      </w:r>
    </w:p>
    <w:p w:rsidR="00282B8D" w:rsidRPr="00ED2565" w:rsidRDefault="00282B8D" w:rsidP="00437D98">
      <w:pPr>
        <w:suppressAutoHyphens/>
        <w:spacing w:line="312" w:lineRule="auto"/>
        <w:rPr>
          <w:rFonts w:asciiTheme="minorHAnsi" w:hAnsiTheme="minorHAnsi"/>
          <w:sz w:val="24"/>
          <w:szCs w:val="24"/>
        </w:rPr>
      </w:pPr>
    </w:p>
    <w:p w:rsidR="00461068" w:rsidRPr="00ED2565" w:rsidRDefault="00282B8D" w:rsidP="00437D98">
      <w:pPr>
        <w:suppressAutoHyphens/>
        <w:spacing w:line="312" w:lineRule="auto"/>
        <w:ind w:left="567" w:hanging="567"/>
        <w:rPr>
          <w:rFonts w:asciiTheme="minorHAnsi" w:hAnsiTheme="minorHAnsi"/>
          <w:b/>
          <w:sz w:val="24"/>
          <w:szCs w:val="24"/>
        </w:rPr>
      </w:pPr>
      <w:r w:rsidRPr="00ED2565">
        <w:rPr>
          <w:rFonts w:asciiTheme="minorHAnsi" w:hAnsiTheme="minorHAnsi"/>
          <w:b/>
          <w:sz w:val="24"/>
          <w:szCs w:val="24"/>
        </w:rPr>
        <w:t>6.3</w:t>
      </w:r>
      <w:r w:rsidRPr="00ED2565">
        <w:rPr>
          <w:rFonts w:asciiTheme="minorHAnsi" w:hAnsiTheme="minorHAnsi"/>
          <w:b/>
          <w:sz w:val="24"/>
          <w:szCs w:val="24"/>
        </w:rPr>
        <w:tab/>
      </w:r>
      <w:r w:rsidR="00461068" w:rsidRPr="00ED2565">
        <w:rPr>
          <w:rFonts w:asciiTheme="minorHAnsi" w:hAnsiTheme="minorHAnsi"/>
          <w:b/>
          <w:sz w:val="24"/>
          <w:szCs w:val="24"/>
        </w:rPr>
        <w:t>Stabilité et conditions de conservation</w:t>
      </w:r>
    </w:p>
    <w:p w:rsidR="00461068" w:rsidRPr="00ED2565" w:rsidRDefault="00461068" w:rsidP="00437D98">
      <w:pPr>
        <w:suppressAutoHyphens/>
        <w:spacing w:line="312" w:lineRule="auto"/>
        <w:ind w:left="567" w:hanging="567"/>
        <w:rPr>
          <w:rFonts w:asciiTheme="minorHAnsi" w:hAnsiTheme="minorHAnsi"/>
          <w:b/>
          <w:sz w:val="24"/>
          <w:szCs w:val="24"/>
        </w:rPr>
      </w:pPr>
    </w:p>
    <w:p w:rsidR="00282B8D" w:rsidRPr="00ED2565" w:rsidRDefault="00282B8D" w:rsidP="00437D98">
      <w:pPr>
        <w:suppressAutoHyphens/>
        <w:spacing w:line="312" w:lineRule="auto"/>
        <w:ind w:left="567"/>
        <w:rPr>
          <w:rFonts w:asciiTheme="minorHAnsi" w:hAnsiTheme="minorHAnsi"/>
          <w:sz w:val="24"/>
          <w:szCs w:val="24"/>
          <w:u w:val="single"/>
        </w:rPr>
      </w:pPr>
      <w:r w:rsidRPr="00ED2565">
        <w:rPr>
          <w:rFonts w:asciiTheme="minorHAnsi" w:hAnsiTheme="minorHAnsi"/>
          <w:sz w:val="24"/>
          <w:szCs w:val="24"/>
          <w:u w:val="single"/>
        </w:rPr>
        <w:t>Durée de conservation</w:t>
      </w:r>
    </w:p>
    <w:p w:rsidR="00F6225E" w:rsidRDefault="00CC1602" w:rsidP="00437D98">
      <w:pPr>
        <w:suppressAutoHyphens/>
        <w:spacing w:line="312" w:lineRule="auto"/>
        <w:ind w:left="567"/>
        <w:rPr>
          <w:rFonts w:asciiTheme="minorHAnsi" w:hAnsiTheme="minorHAnsi"/>
          <w:sz w:val="24"/>
          <w:szCs w:val="24"/>
        </w:rPr>
      </w:pPr>
      <w:r>
        <w:rPr>
          <w:rFonts w:asciiTheme="minorHAnsi" w:hAnsiTheme="minorHAnsi"/>
          <w:sz w:val="24"/>
          <w:szCs w:val="24"/>
        </w:rPr>
        <w:t>24 mois</w:t>
      </w:r>
    </w:p>
    <w:p w:rsidR="00CC1602" w:rsidRPr="00ED2565" w:rsidRDefault="00CC1602" w:rsidP="00437D98">
      <w:pPr>
        <w:suppressAutoHyphens/>
        <w:spacing w:line="312" w:lineRule="auto"/>
        <w:ind w:left="567"/>
        <w:rPr>
          <w:rFonts w:asciiTheme="minorHAnsi" w:hAnsiTheme="minorHAnsi"/>
          <w:sz w:val="24"/>
          <w:szCs w:val="24"/>
        </w:rPr>
      </w:pPr>
    </w:p>
    <w:p w:rsidR="00F6225E" w:rsidRPr="00ED2565" w:rsidRDefault="00F6225E" w:rsidP="00437D98">
      <w:pPr>
        <w:suppressAutoHyphens/>
        <w:spacing w:line="312" w:lineRule="auto"/>
        <w:ind w:left="567"/>
        <w:rPr>
          <w:rFonts w:asciiTheme="minorHAnsi" w:hAnsiTheme="minorHAnsi"/>
          <w:sz w:val="24"/>
          <w:szCs w:val="24"/>
          <w:u w:val="single"/>
        </w:rPr>
      </w:pPr>
      <w:r w:rsidRPr="00ED2565">
        <w:rPr>
          <w:rFonts w:asciiTheme="minorHAnsi" w:hAnsiTheme="minorHAnsi"/>
          <w:sz w:val="24"/>
          <w:szCs w:val="24"/>
          <w:u w:val="single"/>
        </w:rPr>
        <w:t>Conditions de conservation</w:t>
      </w:r>
    </w:p>
    <w:p w:rsidR="00F6225E" w:rsidRPr="00ED2565" w:rsidRDefault="00CC1602" w:rsidP="00437D98">
      <w:pPr>
        <w:suppressAutoHyphens/>
        <w:spacing w:line="312" w:lineRule="auto"/>
        <w:ind w:left="207" w:firstLine="360"/>
        <w:rPr>
          <w:rFonts w:asciiTheme="minorHAnsi" w:hAnsiTheme="minorHAnsi"/>
          <w:sz w:val="24"/>
          <w:szCs w:val="24"/>
          <w:u w:val="single"/>
        </w:rPr>
      </w:pPr>
      <w:r>
        <w:rPr>
          <w:rFonts w:asciiTheme="minorHAnsi" w:hAnsiTheme="minorHAnsi"/>
          <w:sz w:val="24"/>
          <w:szCs w:val="24"/>
        </w:rPr>
        <w:t xml:space="preserve">Conserver à une température ne dépassant pas 30°C, </w:t>
      </w:r>
    </w:p>
    <w:p w:rsidR="00282B8D" w:rsidRPr="00ED2565" w:rsidRDefault="00282B8D" w:rsidP="00282B8D">
      <w:pPr>
        <w:suppressAutoHyphens/>
        <w:rPr>
          <w:rFonts w:asciiTheme="minorHAnsi" w:hAnsiTheme="minorHAnsi"/>
          <w:sz w:val="24"/>
          <w:szCs w:val="24"/>
          <w:u w:val="single"/>
        </w:rPr>
      </w:pPr>
    </w:p>
    <w:p w:rsidR="00282B8D" w:rsidRPr="00ED2565" w:rsidRDefault="00282B8D" w:rsidP="00437D98">
      <w:pPr>
        <w:suppressAutoHyphens/>
        <w:ind w:left="567" w:hanging="567"/>
        <w:rPr>
          <w:rFonts w:asciiTheme="minorHAnsi" w:hAnsiTheme="minorHAnsi"/>
          <w:b/>
          <w:sz w:val="24"/>
          <w:szCs w:val="24"/>
        </w:rPr>
      </w:pPr>
      <w:r w:rsidRPr="00ED2565">
        <w:rPr>
          <w:rFonts w:asciiTheme="minorHAnsi" w:hAnsiTheme="minorHAnsi"/>
          <w:b/>
          <w:sz w:val="24"/>
          <w:szCs w:val="24"/>
        </w:rPr>
        <w:t>6.4</w:t>
      </w:r>
      <w:r w:rsidRPr="00ED2565">
        <w:rPr>
          <w:rFonts w:asciiTheme="minorHAnsi" w:hAnsiTheme="minorHAnsi"/>
          <w:b/>
          <w:sz w:val="24"/>
          <w:szCs w:val="24"/>
        </w:rPr>
        <w:tab/>
        <w:t>Précautions particulières de conservation</w:t>
      </w:r>
    </w:p>
    <w:p w:rsidR="00282B8D" w:rsidRPr="00ED2565" w:rsidRDefault="00282B8D" w:rsidP="00282B8D">
      <w:pPr>
        <w:rPr>
          <w:rFonts w:asciiTheme="minorHAnsi" w:hAnsiTheme="minorHAnsi"/>
          <w:i/>
          <w:color w:val="008000"/>
          <w:sz w:val="24"/>
          <w:szCs w:val="24"/>
        </w:rPr>
      </w:pPr>
    </w:p>
    <w:p w:rsidR="00437D98" w:rsidRPr="00ED2565" w:rsidRDefault="00437D98" w:rsidP="00437D98">
      <w:pPr>
        <w:suppressAutoHyphens/>
        <w:spacing w:line="312" w:lineRule="auto"/>
        <w:ind w:left="207" w:firstLine="360"/>
        <w:rPr>
          <w:rFonts w:asciiTheme="minorHAnsi" w:hAnsiTheme="minorHAnsi"/>
          <w:sz w:val="24"/>
          <w:szCs w:val="24"/>
        </w:rPr>
      </w:pPr>
      <w:r>
        <w:rPr>
          <w:rFonts w:asciiTheme="minorHAnsi" w:hAnsiTheme="minorHAnsi"/>
          <w:sz w:val="24"/>
          <w:szCs w:val="24"/>
        </w:rPr>
        <w:t>Conserver dans l’emballage original à l’abri de la lumière et de l’humidité</w:t>
      </w:r>
    </w:p>
    <w:p w:rsidR="00282B8D" w:rsidRPr="00ED2565" w:rsidRDefault="00282B8D" w:rsidP="00282B8D">
      <w:pPr>
        <w:rPr>
          <w:rFonts w:asciiTheme="minorHAnsi" w:hAnsiTheme="minorHAnsi"/>
          <w:i/>
          <w:iCs/>
          <w:sz w:val="24"/>
          <w:szCs w:val="24"/>
        </w:rPr>
      </w:pPr>
    </w:p>
    <w:p w:rsidR="00282B8D" w:rsidRPr="00ED2565" w:rsidRDefault="00282B8D" w:rsidP="00282B8D">
      <w:pPr>
        <w:suppressAutoHyphens/>
        <w:ind w:left="567" w:hanging="567"/>
        <w:rPr>
          <w:rFonts w:asciiTheme="minorHAnsi" w:hAnsiTheme="minorHAnsi"/>
          <w:b/>
          <w:sz w:val="24"/>
          <w:szCs w:val="24"/>
        </w:rPr>
      </w:pPr>
      <w:r w:rsidRPr="00ED2565">
        <w:rPr>
          <w:rFonts w:asciiTheme="minorHAnsi" w:hAnsiTheme="minorHAnsi"/>
          <w:b/>
          <w:sz w:val="24"/>
          <w:szCs w:val="24"/>
        </w:rPr>
        <w:t>6.5</w:t>
      </w:r>
      <w:r w:rsidRPr="00ED2565">
        <w:rPr>
          <w:rFonts w:asciiTheme="minorHAnsi" w:hAnsiTheme="minorHAnsi"/>
          <w:b/>
          <w:sz w:val="24"/>
          <w:szCs w:val="24"/>
        </w:rPr>
        <w:tab/>
        <w:t xml:space="preserve">Nature </w:t>
      </w:r>
      <w:r w:rsidR="00F6225E" w:rsidRPr="00ED2565">
        <w:rPr>
          <w:rFonts w:asciiTheme="minorHAnsi" w:hAnsiTheme="minorHAnsi"/>
          <w:b/>
          <w:sz w:val="24"/>
          <w:szCs w:val="24"/>
        </w:rPr>
        <w:t xml:space="preserve">du conditionnement primaire </w:t>
      </w:r>
      <w:r w:rsidRPr="00ED2565">
        <w:rPr>
          <w:rFonts w:asciiTheme="minorHAnsi" w:hAnsiTheme="minorHAnsi"/>
          <w:b/>
          <w:sz w:val="24"/>
          <w:szCs w:val="24"/>
        </w:rPr>
        <w:t>et contenu de l’emballage extérieur</w:t>
      </w:r>
    </w:p>
    <w:p w:rsidR="00282B8D" w:rsidRDefault="00282B8D" w:rsidP="00282B8D">
      <w:pPr>
        <w:suppressAutoHyphens/>
        <w:rPr>
          <w:rFonts w:asciiTheme="minorHAnsi" w:hAnsiTheme="minorHAnsi"/>
          <w:sz w:val="24"/>
          <w:szCs w:val="24"/>
        </w:rPr>
      </w:pPr>
    </w:p>
    <w:p w:rsidR="00437D98" w:rsidRDefault="00437D98" w:rsidP="00437D98">
      <w:pPr>
        <w:suppressAutoHyphens/>
        <w:ind w:firstLine="567"/>
        <w:rPr>
          <w:rFonts w:asciiTheme="minorHAnsi" w:hAnsiTheme="minorHAnsi"/>
          <w:sz w:val="24"/>
          <w:szCs w:val="24"/>
        </w:rPr>
      </w:pPr>
      <w:r>
        <w:rPr>
          <w:rFonts w:asciiTheme="minorHAnsi" w:hAnsiTheme="minorHAnsi"/>
          <w:sz w:val="24"/>
          <w:szCs w:val="24"/>
        </w:rPr>
        <w:t>Plaquette de PVC/Aluminium</w:t>
      </w:r>
    </w:p>
    <w:p w:rsidR="00437D98" w:rsidRPr="00ED2565" w:rsidRDefault="00437D98" w:rsidP="00437D98">
      <w:pPr>
        <w:suppressAutoHyphens/>
        <w:ind w:firstLine="567"/>
        <w:rPr>
          <w:rFonts w:asciiTheme="minorHAnsi" w:hAnsiTheme="minorHAnsi"/>
          <w:sz w:val="24"/>
          <w:szCs w:val="24"/>
        </w:rPr>
      </w:pPr>
      <w:r>
        <w:rPr>
          <w:rFonts w:asciiTheme="minorHAnsi" w:hAnsiTheme="minorHAnsi"/>
          <w:sz w:val="24"/>
          <w:szCs w:val="24"/>
        </w:rPr>
        <w:t xml:space="preserve">Boîte : 20 comprimés </w:t>
      </w:r>
      <w:proofErr w:type="gramStart"/>
      <w:r>
        <w:rPr>
          <w:rFonts w:asciiTheme="minorHAnsi" w:hAnsiTheme="minorHAnsi"/>
          <w:sz w:val="24"/>
          <w:szCs w:val="24"/>
        </w:rPr>
        <w:t>( 2</w:t>
      </w:r>
      <w:proofErr w:type="gramEnd"/>
      <w:r>
        <w:rPr>
          <w:rFonts w:asciiTheme="minorHAnsi" w:hAnsiTheme="minorHAnsi"/>
          <w:sz w:val="24"/>
          <w:szCs w:val="24"/>
        </w:rPr>
        <w:t xml:space="preserve"> plaquettes à 10 comprimés) et une notice.</w:t>
      </w:r>
    </w:p>
    <w:p w:rsidR="007A2718" w:rsidRPr="00ED2565" w:rsidRDefault="007A2718" w:rsidP="00282B8D">
      <w:pPr>
        <w:suppressAutoHyphens/>
        <w:ind w:left="567" w:hanging="567"/>
        <w:rPr>
          <w:rFonts w:asciiTheme="minorHAnsi" w:hAnsiTheme="minorHAnsi"/>
          <w:b/>
          <w:sz w:val="24"/>
          <w:szCs w:val="24"/>
        </w:rPr>
      </w:pPr>
    </w:p>
    <w:p w:rsidR="00282B8D" w:rsidRDefault="00282B8D" w:rsidP="00282B8D">
      <w:pPr>
        <w:suppressAutoHyphens/>
        <w:ind w:left="567" w:hanging="567"/>
        <w:rPr>
          <w:rFonts w:asciiTheme="minorHAnsi" w:hAnsiTheme="minorHAnsi"/>
          <w:b/>
          <w:sz w:val="24"/>
          <w:szCs w:val="24"/>
        </w:rPr>
      </w:pPr>
      <w:r w:rsidRPr="00ED2565">
        <w:rPr>
          <w:rFonts w:asciiTheme="minorHAnsi" w:hAnsiTheme="minorHAnsi"/>
          <w:b/>
          <w:sz w:val="24"/>
          <w:szCs w:val="24"/>
        </w:rPr>
        <w:t>6.6</w:t>
      </w:r>
      <w:r w:rsidRPr="00ED2565">
        <w:rPr>
          <w:rFonts w:asciiTheme="minorHAnsi" w:hAnsiTheme="minorHAnsi"/>
          <w:b/>
          <w:sz w:val="24"/>
          <w:szCs w:val="24"/>
        </w:rPr>
        <w:tab/>
      </w:r>
      <w:r w:rsidRPr="00ED2565">
        <w:rPr>
          <w:rFonts w:asciiTheme="minorHAnsi" w:hAnsiTheme="minorHAnsi"/>
          <w:b/>
          <w:noProof/>
          <w:sz w:val="24"/>
          <w:szCs w:val="24"/>
        </w:rPr>
        <w:t xml:space="preserve"> Précautions particulières d’élimination </w:t>
      </w:r>
      <w:r w:rsidR="00F6225E" w:rsidRPr="00ED2565">
        <w:rPr>
          <w:rFonts w:asciiTheme="minorHAnsi" w:hAnsiTheme="minorHAnsi"/>
          <w:b/>
          <w:sz w:val="24"/>
          <w:szCs w:val="24"/>
        </w:rPr>
        <w:t>et manipulation</w:t>
      </w:r>
    </w:p>
    <w:p w:rsidR="00437D98" w:rsidRDefault="00437D98" w:rsidP="00282B8D">
      <w:pPr>
        <w:suppressAutoHyphens/>
        <w:ind w:left="567" w:hanging="567"/>
        <w:rPr>
          <w:rFonts w:asciiTheme="minorHAnsi" w:hAnsiTheme="minorHAnsi"/>
          <w:b/>
          <w:sz w:val="24"/>
          <w:szCs w:val="24"/>
        </w:rPr>
      </w:pPr>
      <w:r>
        <w:rPr>
          <w:rFonts w:asciiTheme="minorHAnsi" w:hAnsiTheme="minorHAnsi"/>
          <w:b/>
          <w:sz w:val="24"/>
          <w:szCs w:val="24"/>
        </w:rPr>
        <w:tab/>
      </w:r>
    </w:p>
    <w:p w:rsidR="00437D98" w:rsidRPr="00437D98" w:rsidRDefault="00437D98" w:rsidP="00282B8D">
      <w:pPr>
        <w:suppressAutoHyphens/>
        <w:ind w:left="567" w:hanging="567"/>
        <w:rPr>
          <w:rFonts w:asciiTheme="minorHAnsi" w:hAnsiTheme="minorHAnsi"/>
          <w:sz w:val="24"/>
          <w:szCs w:val="24"/>
        </w:rPr>
      </w:pPr>
      <w:r>
        <w:rPr>
          <w:rFonts w:asciiTheme="minorHAnsi" w:hAnsiTheme="minorHAnsi"/>
          <w:b/>
          <w:sz w:val="24"/>
          <w:szCs w:val="24"/>
        </w:rPr>
        <w:lastRenderedPageBreak/>
        <w:tab/>
      </w:r>
      <w:r w:rsidRPr="00437D98">
        <w:rPr>
          <w:rFonts w:asciiTheme="minorHAnsi" w:hAnsiTheme="minorHAnsi"/>
          <w:sz w:val="24"/>
          <w:szCs w:val="24"/>
        </w:rPr>
        <w:t>Pas d’exigences particulières. Tout produit non utilisé ou déchet doit être éliminé conformément à la réglementation en vigueur.</w:t>
      </w:r>
    </w:p>
    <w:p w:rsidR="00282B8D" w:rsidRPr="00437D98" w:rsidRDefault="00282B8D" w:rsidP="00282B8D">
      <w:pPr>
        <w:suppressAutoHyphens/>
        <w:rPr>
          <w:rFonts w:asciiTheme="minorHAnsi" w:hAnsiTheme="minorHAnsi"/>
          <w:sz w:val="24"/>
          <w:szCs w:val="24"/>
        </w:rPr>
      </w:pPr>
    </w:p>
    <w:p w:rsidR="00282B8D" w:rsidRPr="00ED2565" w:rsidRDefault="00282B8D" w:rsidP="00F6225E">
      <w:pPr>
        <w:suppressAutoHyphens/>
        <w:ind w:left="360"/>
        <w:rPr>
          <w:rFonts w:asciiTheme="minorHAnsi" w:hAnsiTheme="minorHAnsi"/>
          <w:sz w:val="24"/>
          <w:szCs w:val="24"/>
        </w:rPr>
      </w:pPr>
    </w:p>
    <w:p w:rsidR="00F6225E" w:rsidRPr="00ED2565" w:rsidRDefault="00282B8D" w:rsidP="00282B8D">
      <w:pPr>
        <w:suppressAutoHyphens/>
        <w:ind w:left="567" w:hanging="567"/>
        <w:rPr>
          <w:rFonts w:asciiTheme="minorHAnsi" w:hAnsiTheme="minorHAnsi"/>
          <w:b/>
          <w:sz w:val="24"/>
          <w:szCs w:val="24"/>
        </w:rPr>
      </w:pPr>
      <w:r w:rsidRPr="00ED2565">
        <w:rPr>
          <w:rFonts w:asciiTheme="minorHAnsi" w:hAnsiTheme="minorHAnsi"/>
          <w:b/>
          <w:sz w:val="24"/>
          <w:szCs w:val="24"/>
        </w:rPr>
        <w:t>7.</w:t>
      </w:r>
      <w:r w:rsidRPr="00ED2565">
        <w:rPr>
          <w:rFonts w:asciiTheme="minorHAnsi" w:hAnsiTheme="minorHAnsi"/>
          <w:b/>
          <w:sz w:val="24"/>
          <w:szCs w:val="24"/>
        </w:rPr>
        <w:tab/>
      </w:r>
      <w:r w:rsidR="00F6225E" w:rsidRPr="00ED2565">
        <w:rPr>
          <w:rFonts w:asciiTheme="minorHAnsi" w:hAnsiTheme="minorHAnsi"/>
          <w:b/>
          <w:sz w:val="24"/>
          <w:szCs w:val="24"/>
        </w:rPr>
        <w:t>INSCRIPTION À UNE LISTE DES SUBSTANCES VÉNÉNEUSES</w:t>
      </w:r>
    </w:p>
    <w:p w:rsidR="00F6225E" w:rsidRDefault="00F6225E" w:rsidP="00282B8D">
      <w:pPr>
        <w:suppressAutoHyphens/>
        <w:ind w:left="567" w:hanging="567"/>
        <w:rPr>
          <w:rFonts w:asciiTheme="minorHAnsi" w:hAnsiTheme="minorHAnsi"/>
          <w:b/>
          <w:sz w:val="24"/>
          <w:szCs w:val="24"/>
        </w:rPr>
      </w:pPr>
    </w:p>
    <w:p w:rsidR="00437D98" w:rsidRPr="00437D98" w:rsidRDefault="00437D98" w:rsidP="00282B8D">
      <w:pPr>
        <w:suppressAutoHyphens/>
        <w:ind w:left="567" w:hanging="567"/>
        <w:rPr>
          <w:rFonts w:asciiTheme="minorHAnsi" w:hAnsiTheme="minorHAnsi"/>
          <w:sz w:val="24"/>
          <w:szCs w:val="24"/>
        </w:rPr>
      </w:pPr>
      <w:r>
        <w:rPr>
          <w:rFonts w:asciiTheme="minorHAnsi" w:hAnsiTheme="minorHAnsi"/>
          <w:b/>
          <w:sz w:val="24"/>
          <w:szCs w:val="24"/>
        </w:rPr>
        <w:tab/>
      </w:r>
      <w:r>
        <w:rPr>
          <w:rFonts w:asciiTheme="minorHAnsi" w:hAnsiTheme="minorHAnsi"/>
          <w:sz w:val="24"/>
          <w:szCs w:val="24"/>
        </w:rPr>
        <w:t>Sans objet</w:t>
      </w:r>
    </w:p>
    <w:p w:rsidR="00F6225E" w:rsidRPr="00ED2565" w:rsidRDefault="00F6225E" w:rsidP="00282B8D">
      <w:pPr>
        <w:suppressAutoHyphens/>
        <w:ind w:left="567" w:hanging="567"/>
        <w:rPr>
          <w:rFonts w:asciiTheme="minorHAnsi" w:hAnsiTheme="minorHAnsi"/>
          <w:b/>
          <w:sz w:val="24"/>
          <w:szCs w:val="24"/>
        </w:rPr>
      </w:pPr>
    </w:p>
    <w:p w:rsidR="00F6225E" w:rsidRPr="00ED2565" w:rsidRDefault="00F6225E" w:rsidP="00F6225E">
      <w:pPr>
        <w:pStyle w:val="ListParagraph"/>
        <w:numPr>
          <w:ilvl w:val="0"/>
          <w:numId w:val="3"/>
        </w:numPr>
        <w:suppressAutoHyphens/>
        <w:ind w:left="567" w:hanging="567"/>
        <w:rPr>
          <w:rFonts w:asciiTheme="minorHAnsi" w:hAnsiTheme="minorHAnsi"/>
          <w:b/>
          <w:sz w:val="24"/>
          <w:szCs w:val="24"/>
        </w:rPr>
      </w:pPr>
      <w:r w:rsidRPr="00ED2565">
        <w:rPr>
          <w:rFonts w:asciiTheme="minorHAnsi" w:hAnsiTheme="minorHAnsi"/>
          <w:b/>
          <w:sz w:val="24"/>
          <w:szCs w:val="24"/>
        </w:rPr>
        <w:t>FABRICANT</w:t>
      </w:r>
    </w:p>
    <w:p w:rsidR="00F6225E" w:rsidRPr="00ED2565" w:rsidRDefault="00F6225E" w:rsidP="00F6225E">
      <w:pPr>
        <w:pStyle w:val="ListParagraph"/>
        <w:suppressAutoHyphens/>
        <w:ind w:left="360"/>
        <w:rPr>
          <w:rFonts w:asciiTheme="minorHAnsi" w:hAnsiTheme="minorHAnsi"/>
          <w:b/>
          <w:sz w:val="24"/>
          <w:szCs w:val="24"/>
        </w:rPr>
      </w:pPr>
    </w:p>
    <w:p w:rsidR="00437D98" w:rsidRPr="00437D98" w:rsidRDefault="00437D98" w:rsidP="00437D98">
      <w:pPr>
        <w:pStyle w:val="ListParagraph"/>
        <w:ind w:left="567"/>
        <w:rPr>
          <w:rFonts w:asciiTheme="minorHAnsi" w:hAnsiTheme="minorHAnsi"/>
          <w:sz w:val="24"/>
          <w:szCs w:val="24"/>
          <w:lang w:val="en-GB"/>
        </w:rPr>
      </w:pPr>
      <w:r w:rsidRPr="00437D98">
        <w:rPr>
          <w:rFonts w:asciiTheme="minorHAnsi" w:hAnsiTheme="minorHAnsi"/>
          <w:caps/>
          <w:sz w:val="24"/>
          <w:szCs w:val="24"/>
        </w:rPr>
        <w:t>ATABAY İLAÇ FABRİKASı</w:t>
      </w:r>
      <w:r w:rsidRPr="00437D98">
        <w:rPr>
          <w:rFonts w:asciiTheme="minorHAnsi" w:hAnsiTheme="minorHAnsi"/>
          <w:sz w:val="24"/>
          <w:szCs w:val="24"/>
        </w:rPr>
        <w:t xml:space="preserve"> A.Ş., </w:t>
      </w:r>
      <w:proofErr w:type="spellStart"/>
      <w:r w:rsidRPr="00437D98">
        <w:rPr>
          <w:rFonts w:asciiTheme="minorHAnsi" w:hAnsiTheme="minorHAnsi"/>
          <w:sz w:val="24"/>
          <w:szCs w:val="24"/>
        </w:rPr>
        <w:t>Acıbadem</w:t>
      </w:r>
      <w:proofErr w:type="spellEnd"/>
      <w:r w:rsidRPr="00437D98">
        <w:rPr>
          <w:rFonts w:asciiTheme="minorHAnsi" w:hAnsiTheme="minorHAnsi"/>
          <w:sz w:val="24"/>
          <w:szCs w:val="24"/>
        </w:rPr>
        <w:t xml:space="preserve">, </w:t>
      </w:r>
      <w:proofErr w:type="spellStart"/>
      <w:r w:rsidRPr="00437D98">
        <w:rPr>
          <w:rFonts w:asciiTheme="minorHAnsi" w:hAnsiTheme="minorHAnsi"/>
          <w:sz w:val="24"/>
          <w:szCs w:val="24"/>
        </w:rPr>
        <w:t>Köftüncü</w:t>
      </w:r>
      <w:proofErr w:type="spellEnd"/>
      <w:r w:rsidRPr="00437D98">
        <w:rPr>
          <w:rFonts w:asciiTheme="minorHAnsi" w:hAnsiTheme="minorHAnsi"/>
          <w:sz w:val="24"/>
          <w:szCs w:val="24"/>
        </w:rPr>
        <w:t xml:space="preserve"> </w:t>
      </w:r>
      <w:proofErr w:type="spellStart"/>
      <w:r w:rsidRPr="00437D98">
        <w:rPr>
          <w:rFonts w:asciiTheme="minorHAnsi" w:hAnsiTheme="minorHAnsi"/>
          <w:sz w:val="24"/>
          <w:szCs w:val="24"/>
        </w:rPr>
        <w:t>sok</w:t>
      </w:r>
      <w:proofErr w:type="spellEnd"/>
      <w:r w:rsidRPr="00437D98">
        <w:rPr>
          <w:rFonts w:asciiTheme="minorHAnsi" w:hAnsiTheme="minorHAnsi"/>
          <w:sz w:val="24"/>
          <w:szCs w:val="24"/>
        </w:rPr>
        <w:t xml:space="preserve">. </w:t>
      </w:r>
      <w:r w:rsidRPr="00437D98">
        <w:rPr>
          <w:rFonts w:asciiTheme="minorHAnsi" w:hAnsiTheme="minorHAnsi"/>
          <w:sz w:val="24"/>
          <w:szCs w:val="24"/>
          <w:lang w:val="en-GB"/>
        </w:rPr>
        <w:t>No</w:t>
      </w:r>
      <w:proofErr w:type="gramStart"/>
      <w:r w:rsidRPr="00437D98">
        <w:rPr>
          <w:rFonts w:asciiTheme="minorHAnsi" w:hAnsiTheme="minorHAnsi"/>
          <w:sz w:val="24"/>
          <w:szCs w:val="24"/>
          <w:lang w:val="en-GB"/>
        </w:rPr>
        <w:t>:1</w:t>
      </w:r>
      <w:proofErr w:type="gramEnd"/>
      <w:r w:rsidRPr="00437D98">
        <w:rPr>
          <w:rFonts w:asciiTheme="minorHAnsi" w:hAnsiTheme="minorHAnsi"/>
          <w:sz w:val="24"/>
          <w:szCs w:val="24"/>
          <w:lang w:val="en-GB"/>
        </w:rPr>
        <w:t xml:space="preserve"> </w:t>
      </w:r>
    </w:p>
    <w:p w:rsidR="00437D98" w:rsidRPr="00437D98" w:rsidRDefault="00437D98" w:rsidP="00437D98">
      <w:pPr>
        <w:pStyle w:val="ListParagraph"/>
        <w:ind w:left="567"/>
        <w:rPr>
          <w:rFonts w:asciiTheme="minorHAnsi" w:hAnsiTheme="minorHAnsi"/>
          <w:sz w:val="24"/>
          <w:szCs w:val="24"/>
          <w:lang w:val="en-GB"/>
        </w:rPr>
      </w:pPr>
      <w:r w:rsidRPr="00437D98">
        <w:rPr>
          <w:rFonts w:asciiTheme="minorHAnsi" w:hAnsiTheme="minorHAnsi"/>
          <w:sz w:val="24"/>
          <w:szCs w:val="24"/>
          <w:lang w:val="en-GB"/>
        </w:rPr>
        <w:t xml:space="preserve">34718 </w:t>
      </w:r>
      <w:proofErr w:type="spellStart"/>
      <w:r w:rsidRPr="00437D98">
        <w:rPr>
          <w:rFonts w:asciiTheme="minorHAnsi" w:hAnsiTheme="minorHAnsi"/>
          <w:sz w:val="24"/>
          <w:szCs w:val="24"/>
          <w:lang w:val="en-GB"/>
        </w:rPr>
        <w:t>Kadıköy</w:t>
      </w:r>
      <w:proofErr w:type="spellEnd"/>
      <w:r w:rsidRPr="00437D98">
        <w:rPr>
          <w:rFonts w:asciiTheme="minorHAnsi" w:hAnsiTheme="minorHAnsi"/>
          <w:sz w:val="24"/>
          <w:szCs w:val="24"/>
          <w:lang w:val="en-GB"/>
        </w:rPr>
        <w:t xml:space="preserve"> / İSTANBUL, </w:t>
      </w:r>
      <w:r>
        <w:rPr>
          <w:rFonts w:asciiTheme="minorHAnsi" w:hAnsiTheme="minorHAnsi"/>
          <w:sz w:val="24"/>
          <w:szCs w:val="24"/>
          <w:lang w:val="en-GB"/>
        </w:rPr>
        <w:t xml:space="preserve">La </w:t>
      </w:r>
      <w:proofErr w:type="spellStart"/>
      <w:r>
        <w:rPr>
          <w:rFonts w:asciiTheme="minorHAnsi" w:hAnsiTheme="minorHAnsi"/>
          <w:sz w:val="24"/>
          <w:szCs w:val="24"/>
          <w:lang w:val="en-GB"/>
        </w:rPr>
        <w:t>Turquie</w:t>
      </w:r>
      <w:proofErr w:type="spellEnd"/>
    </w:p>
    <w:p w:rsidR="00437D98" w:rsidRPr="0040300A" w:rsidRDefault="00437D98" w:rsidP="00437D98">
      <w:pPr>
        <w:pStyle w:val="ListParagraph"/>
        <w:ind w:left="0"/>
        <w:rPr>
          <w:rFonts w:asciiTheme="minorHAnsi" w:hAnsiTheme="minorHAnsi"/>
          <w:lang w:val="en-GB"/>
        </w:rPr>
      </w:pPr>
    </w:p>
    <w:p w:rsidR="00F6225E" w:rsidRPr="00ED2565" w:rsidRDefault="00F6225E" w:rsidP="00F6225E">
      <w:pPr>
        <w:pStyle w:val="ListParagraph"/>
        <w:suppressAutoHyphens/>
        <w:ind w:left="360"/>
        <w:rPr>
          <w:rFonts w:asciiTheme="minorHAnsi" w:hAnsiTheme="minorHAnsi"/>
          <w:sz w:val="24"/>
          <w:szCs w:val="24"/>
        </w:rPr>
      </w:pPr>
    </w:p>
    <w:p w:rsidR="00282B8D" w:rsidRPr="00ED2565" w:rsidRDefault="00282B8D" w:rsidP="00F6225E">
      <w:pPr>
        <w:pStyle w:val="ListParagraph"/>
        <w:numPr>
          <w:ilvl w:val="0"/>
          <w:numId w:val="3"/>
        </w:numPr>
        <w:suppressAutoHyphens/>
        <w:ind w:left="567" w:hanging="567"/>
        <w:rPr>
          <w:rFonts w:asciiTheme="minorHAnsi" w:hAnsiTheme="minorHAnsi"/>
          <w:b/>
          <w:sz w:val="24"/>
          <w:szCs w:val="24"/>
        </w:rPr>
      </w:pPr>
      <w:r w:rsidRPr="00ED2565">
        <w:rPr>
          <w:rFonts w:asciiTheme="minorHAnsi" w:hAnsiTheme="minorHAnsi"/>
          <w:b/>
          <w:sz w:val="24"/>
          <w:szCs w:val="24"/>
        </w:rPr>
        <w:t>TITULAIRE DE L’</w:t>
      </w:r>
      <w:r w:rsidR="00F6225E" w:rsidRPr="00ED2565">
        <w:rPr>
          <w:rFonts w:asciiTheme="minorHAnsi" w:hAnsiTheme="minorHAnsi"/>
          <w:b/>
          <w:sz w:val="24"/>
          <w:szCs w:val="24"/>
        </w:rPr>
        <w:t>ENREGISTREMENT</w:t>
      </w:r>
    </w:p>
    <w:p w:rsidR="00282B8D" w:rsidRPr="00ED2565" w:rsidRDefault="00282B8D" w:rsidP="00282B8D">
      <w:pPr>
        <w:rPr>
          <w:rFonts w:asciiTheme="minorHAnsi" w:hAnsiTheme="minorHAnsi"/>
          <w:sz w:val="24"/>
          <w:szCs w:val="24"/>
        </w:rPr>
      </w:pPr>
    </w:p>
    <w:p w:rsidR="00282B8D" w:rsidRPr="00ED2565" w:rsidRDefault="00F6225E" w:rsidP="00F6225E">
      <w:pPr>
        <w:suppressAutoHyphens/>
        <w:ind w:left="567"/>
        <w:rPr>
          <w:rFonts w:asciiTheme="minorHAnsi" w:hAnsiTheme="minorHAnsi"/>
          <w:sz w:val="24"/>
          <w:szCs w:val="24"/>
        </w:rPr>
      </w:pPr>
      <w:proofErr w:type="spellStart"/>
      <w:r w:rsidRPr="00ED2565">
        <w:rPr>
          <w:rFonts w:asciiTheme="minorHAnsi" w:hAnsiTheme="minorHAnsi"/>
          <w:sz w:val="24"/>
          <w:szCs w:val="24"/>
        </w:rPr>
        <w:t>Dafra</w:t>
      </w:r>
      <w:proofErr w:type="spellEnd"/>
      <w:r w:rsidRPr="00ED2565">
        <w:rPr>
          <w:rFonts w:asciiTheme="minorHAnsi" w:hAnsiTheme="minorHAnsi"/>
          <w:sz w:val="24"/>
          <w:szCs w:val="24"/>
        </w:rPr>
        <w:t xml:space="preserve"> Pharma </w:t>
      </w:r>
      <w:proofErr w:type="spellStart"/>
      <w:r w:rsidRPr="00ED2565">
        <w:rPr>
          <w:rFonts w:asciiTheme="minorHAnsi" w:hAnsiTheme="minorHAnsi"/>
          <w:sz w:val="24"/>
          <w:szCs w:val="24"/>
        </w:rPr>
        <w:t>GmbH</w:t>
      </w:r>
      <w:proofErr w:type="spellEnd"/>
      <w:r w:rsidRPr="00ED2565">
        <w:rPr>
          <w:rFonts w:asciiTheme="minorHAnsi" w:hAnsiTheme="minorHAnsi"/>
          <w:sz w:val="24"/>
          <w:szCs w:val="24"/>
        </w:rPr>
        <w:t xml:space="preserve">, </w:t>
      </w:r>
      <w:proofErr w:type="spellStart"/>
      <w:r w:rsidRPr="00ED2565">
        <w:rPr>
          <w:rFonts w:asciiTheme="minorHAnsi" w:hAnsiTheme="minorHAnsi"/>
          <w:sz w:val="24"/>
          <w:szCs w:val="24"/>
        </w:rPr>
        <w:t>Mühlenberg</w:t>
      </w:r>
      <w:proofErr w:type="spellEnd"/>
      <w:r w:rsidRPr="00ED2565">
        <w:rPr>
          <w:rFonts w:asciiTheme="minorHAnsi" w:hAnsiTheme="minorHAnsi"/>
          <w:sz w:val="24"/>
          <w:szCs w:val="24"/>
        </w:rPr>
        <w:t xml:space="preserve"> 7, 4052 Bâle, Suisse.</w:t>
      </w:r>
    </w:p>
    <w:p w:rsidR="00282B8D" w:rsidRPr="00ED2565" w:rsidRDefault="00282B8D" w:rsidP="00282B8D">
      <w:pPr>
        <w:suppressAutoHyphens/>
        <w:rPr>
          <w:rFonts w:asciiTheme="minorHAnsi" w:hAnsiTheme="minorHAnsi"/>
          <w:sz w:val="24"/>
          <w:szCs w:val="24"/>
        </w:rPr>
      </w:pPr>
    </w:p>
    <w:p w:rsidR="00282B8D" w:rsidRPr="00ED2565" w:rsidRDefault="00282B8D" w:rsidP="00282B8D">
      <w:pPr>
        <w:suppressAutoHyphens/>
        <w:rPr>
          <w:rFonts w:asciiTheme="minorHAnsi" w:hAnsiTheme="minorHAnsi"/>
          <w:sz w:val="24"/>
          <w:szCs w:val="24"/>
        </w:rPr>
      </w:pPr>
    </w:p>
    <w:p w:rsidR="00282B8D" w:rsidRPr="00ED2565" w:rsidRDefault="00282B8D" w:rsidP="004D2B5D">
      <w:pPr>
        <w:suppressAutoHyphens/>
        <w:ind w:left="567" w:hanging="567"/>
        <w:rPr>
          <w:rFonts w:asciiTheme="minorHAnsi" w:hAnsiTheme="minorHAnsi"/>
          <w:sz w:val="24"/>
          <w:szCs w:val="24"/>
        </w:rPr>
      </w:pPr>
      <w:r w:rsidRPr="00ED2565">
        <w:rPr>
          <w:rFonts w:asciiTheme="minorHAnsi" w:hAnsiTheme="minorHAnsi"/>
          <w:b/>
          <w:sz w:val="24"/>
          <w:szCs w:val="24"/>
        </w:rPr>
        <w:t>10.</w:t>
      </w:r>
      <w:r w:rsidRPr="00ED2565">
        <w:rPr>
          <w:rFonts w:asciiTheme="minorHAnsi" w:hAnsiTheme="minorHAnsi"/>
          <w:b/>
          <w:sz w:val="24"/>
          <w:szCs w:val="24"/>
        </w:rPr>
        <w:tab/>
        <w:t xml:space="preserve">DATE DE </w:t>
      </w:r>
      <w:r w:rsidR="00F6225E" w:rsidRPr="00ED2565">
        <w:rPr>
          <w:rFonts w:asciiTheme="minorHAnsi" w:hAnsiTheme="minorHAnsi"/>
          <w:b/>
          <w:sz w:val="24"/>
          <w:szCs w:val="24"/>
        </w:rPr>
        <w:t>LA DERNI</w:t>
      </w:r>
      <w:r w:rsidR="00DA3B93" w:rsidRPr="00ED2565">
        <w:rPr>
          <w:rFonts w:asciiTheme="minorHAnsi" w:hAnsiTheme="minorHAnsi"/>
          <w:b/>
          <w:sz w:val="24"/>
          <w:szCs w:val="24"/>
        </w:rPr>
        <w:t>ÈRE RÉVISION</w:t>
      </w:r>
      <w:r w:rsidRPr="00ED2565">
        <w:rPr>
          <w:rFonts w:asciiTheme="minorHAnsi" w:hAnsiTheme="minorHAnsi"/>
          <w:b/>
          <w:sz w:val="24"/>
          <w:szCs w:val="24"/>
        </w:rPr>
        <w:t xml:space="preserve"> DU TEXTE</w:t>
      </w:r>
    </w:p>
    <w:p w:rsidR="00282B8D" w:rsidRPr="00ED2565" w:rsidRDefault="00282B8D" w:rsidP="00282B8D">
      <w:pPr>
        <w:suppressAutoHyphens/>
        <w:rPr>
          <w:rFonts w:asciiTheme="minorHAnsi" w:hAnsiTheme="minorHAnsi"/>
          <w:sz w:val="24"/>
          <w:szCs w:val="24"/>
        </w:rPr>
      </w:pPr>
    </w:p>
    <w:p w:rsidR="00282B8D" w:rsidRPr="006829C3" w:rsidRDefault="00752ED8" w:rsidP="004D2B5D">
      <w:pPr>
        <w:suppressAutoHyphens/>
        <w:ind w:firstLine="567"/>
        <w:rPr>
          <w:rFonts w:asciiTheme="minorHAnsi" w:hAnsiTheme="minorHAnsi"/>
          <w:noProof/>
          <w:sz w:val="24"/>
          <w:szCs w:val="24"/>
        </w:rPr>
      </w:pPr>
      <w:r w:rsidRPr="00ED2565">
        <w:rPr>
          <w:rFonts w:asciiTheme="minorHAnsi" w:hAnsiTheme="minorHAnsi"/>
          <w:noProof/>
          <w:sz w:val="24"/>
          <w:szCs w:val="24"/>
        </w:rPr>
        <w:t>Février 2019</w:t>
      </w:r>
    </w:p>
    <w:p w:rsidR="00282B8D" w:rsidRPr="006829C3" w:rsidRDefault="00282B8D" w:rsidP="00282B8D">
      <w:pPr>
        <w:suppressAutoHyphens/>
        <w:rPr>
          <w:rFonts w:asciiTheme="minorHAnsi" w:hAnsiTheme="minorHAnsi"/>
          <w:sz w:val="24"/>
          <w:szCs w:val="24"/>
        </w:rPr>
      </w:pPr>
    </w:p>
    <w:p w:rsidR="00282B8D" w:rsidRPr="006829C3" w:rsidRDefault="00282B8D" w:rsidP="00282B8D">
      <w:pPr>
        <w:suppressAutoHyphens/>
        <w:rPr>
          <w:rFonts w:asciiTheme="minorHAnsi" w:hAnsiTheme="minorHAnsi"/>
          <w:sz w:val="24"/>
          <w:szCs w:val="24"/>
        </w:rPr>
      </w:pPr>
    </w:p>
    <w:p w:rsidR="00282B8D" w:rsidRPr="006829C3" w:rsidRDefault="00282B8D" w:rsidP="007A2718">
      <w:pPr>
        <w:suppressAutoHyphens/>
        <w:rPr>
          <w:rFonts w:asciiTheme="minorHAnsi" w:hAnsiTheme="minorHAnsi"/>
          <w:noProof/>
          <w:sz w:val="24"/>
          <w:szCs w:val="24"/>
        </w:rPr>
      </w:pPr>
    </w:p>
    <w:p w:rsidR="00B83AFB" w:rsidRPr="006829C3" w:rsidRDefault="00B83AFB">
      <w:pPr>
        <w:rPr>
          <w:rFonts w:asciiTheme="minorHAnsi" w:hAnsiTheme="minorHAnsi"/>
          <w:sz w:val="24"/>
          <w:szCs w:val="24"/>
        </w:rPr>
      </w:pPr>
    </w:p>
    <w:sectPr w:rsidR="00B83AFB" w:rsidRPr="006829C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644" w:rsidRDefault="00425644" w:rsidP="007A2718">
      <w:r>
        <w:separator/>
      </w:r>
    </w:p>
  </w:endnote>
  <w:endnote w:type="continuationSeparator" w:id="0">
    <w:p w:rsidR="00425644" w:rsidRDefault="00425644" w:rsidP="007A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718" w:rsidRPr="00620821" w:rsidRDefault="00920C8F" w:rsidP="00620821">
    <w:pPr>
      <w:pStyle w:val="Footer"/>
      <w:pBdr>
        <w:top w:val="single" w:sz="4" w:space="1" w:color="auto"/>
      </w:pBdr>
      <w:rPr>
        <w:lang w:val="nl-NL"/>
      </w:rPr>
    </w:pPr>
    <w:r>
      <w:t>EP F</w:t>
    </w:r>
    <w:r w:rsidR="00752ED8">
      <w:t>é</w:t>
    </w:r>
    <w:r>
      <w:t>vrier 2019</w:t>
    </w:r>
    <w:r w:rsidR="00620821">
      <w:ptab w:relativeTo="margin" w:alignment="center" w:leader="none"/>
    </w:r>
    <w:r w:rsidR="00620821">
      <w:ptab w:relativeTo="margin" w:alignment="right" w:leader="none"/>
    </w:r>
    <w:r w:rsidR="00620821" w:rsidRPr="00620821">
      <w:rPr>
        <w:lang w:val="nl-NL"/>
      </w:rPr>
      <w:t xml:space="preserve">Page </w:t>
    </w:r>
    <w:r w:rsidR="00620821">
      <w:rPr>
        <w:lang w:val="nl-NL"/>
      </w:rPr>
      <w:t xml:space="preserve"> </w:t>
    </w:r>
    <w:r w:rsidR="00620821">
      <w:rPr>
        <w:b/>
        <w:bCs/>
      </w:rPr>
      <w:fldChar w:fldCharType="begin"/>
    </w:r>
    <w:r w:rsidR="00620821" w:rsidRPr="00620821">
      <w:rPr>
        <w:b/>
        <w:bCs/>
        <w:lang w:val="nl-NL"/>
      </w:rPr>
      <w:instrText>PAGE  \* Arabic  \* MERGEFORMAT</w:instrText>
    </w:r>
    <w:r w:rsidR="00620821">
      <w:rPr>
        <w:b/>
        <w:bCs/>
      </w:rPr>
      <w:fldChar w:fldCharType="separate"/>
    </w:r>
    <w:r w:rsidR="009F18BA">
      <w:rPr>
        <w:b/>
        <w:bCs/>
        <w:noProof/>
        <w:lang w:val="nl-NL"/>
      </w:rPr>
      <w:t>10</w:t>
    </w:r>
    <w:r w:rsidR="00620821">
      <w:rPr>
        <w:b/>
        <w:bCs/>
      </w:rPr>
      <w:fldChar w:fldCharType="end"/>
    </w:r>
    <w:r w:rsidR="00620821">
      <w:rPr>
        <w:lang w:val="nl-NL"/>
      </w:rPr>
      <w:t xml:space="preserve"> de </w:t>
    </w:r>
    <w:r w:rsidR="00620821">
      <w:rPr>
        <w:b/>
        <w:bCs/>
      </w:rPr>
      <w:fldChar w:fldCharType="begin"/>
    </w:r>
    <w:r w:rsidR="00620821" w:rsidRPr="00620821">
      <w:rPr>
        <w:b/>
        <w:bCs/>
        <w:lang w:val="nl-NL"/>
      </w:rPr>
      <w:instrText>NUMPAGES  \* Arabic  \* MERGEFORMAT</w:instrText>
    </w:r>
    <w:r w:rsidR="00620821">
      <w:rPr>
        <w:b/>
        <w:bCs/>
      </w:rPr>
      <w:fldChar w:fldCharType="separate"/>
    </w:r>
    <w:r w:rsidR="009F18BA">
      <w:rPr>
        <w:b/>
        <w:bCs/>
        <w:noProof/>
        <w:lang w:val="nl-NL"/>
      </w:rPr>
      <w:t>10</w:t>
    </w:r>
    <w:r w:rsidR="00620821">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644" w:rsidRDefault="00425644" w:rsidP="007A2718">
      <w:r>
        <w:separator/>
      </w:r>
    </w:p>
  </w:footnote>
  <w:footnote w:type="continuationSeparator" w:id="0">
    <w:p w:rsidR="00425644" w:rsidRDefault="00425644" w:rsidP="007A2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718" w:rsidRDefault="007A2718">
    <w:pPr>
      <w:pStyle w:val="Header"/>
      <w:jc w:val="right"/>
      <w:rPr>
        <w:color w:val="7F7F7F" w:themeColor="text1" w:themeTint="80"/>
      </w:rPr>
    </w:pPr>
  </w:p>
  <w:p w:rsidR="007A2718" w:rsidRPr="007A2718" w:rsidRDefault="007A2718" w:rsidP="00920C8F">
    <w:pPr>
      <w:pStyle w:val="Header"/>
      <w:pBdr>
        <w:bottom w:val="single" w:sz="4" w:space="1" w:color="auto"/>
      </w:pBdr>
      <w:tabs>
        <w:tab w:val="clear" w:pos="8306"/>
        <w:tab w:val="right" w:pos="9072"/>
      </w:tabs>
      <w:rPr>
        <w:rFonts w:asciiTheme="minorHAnsi" w:hAnsiTheme="minorHAnsi" w:cstheme="minorHAnsi"/>
        <w:lang w:val="nl-BE"/>
      </w:rPr>
    </w:pPr>
    <w:proofErr w:type="spellStart"/>
    <w:r w:rsidRPr="007A2718">
      <w:rPr>
        <w:rFonts w:asciiTheme="minorHAnsi" w:hAnsiTheme="minorHAnsi" w:cstheme="minorHAnsi"/>
        <w:lang w:val="nl-BE"/>
      </w:rPr>
      <w:t>Dafra</w:t>
    </w:r>
    <w:proofErr w:type="spellEnd"/>
    <w:r w:rsidRPr="007A2718">
      <w:rPr>
        <w:rFonts w:asciiTheme="minorHAnsi" w:hAnsiTheme="minorHAnsi" w:cstheme="minorHAnsi"/>
        <w:lang w:val="nl-BE"/>
      </w:rPr>
      <w:t xml:space="preserve"> </w:t>
    </w:r>
    <w:proofErr w:type="spellStart"/>
    <w:r w:rsidRPr="007A2718">
      <w:rPr>
        <w:rFonts w:asciiTheme="minorHAnsi" w:hAnsiTheme="minorHAnsi" w:cstheme="minorHAnsi"/>
        <w:lang w:val="nl-BE"/>
      </w:rPr>
      <w:t>Pharma</w:t>
    </w:r>
    <w:proofErr w:type="spellEnd"/>
    <w:r w:rsidR="00920C8F">
      <w:rPr>
        <w:rFonts w:asciiTheme="minorHAnsi" w:hAnsiTheme="minorHAnsi" w:cstheme="minorHAnsi"/>
        <w:lang w:val="nl-BE"/>
      </w:rPr>
      <w:tab/>
      <w:t>RCP</w:t>
    </w:r>
    <w:r w:rsidR="00920C8F">
      <w:rPr>
        <w:rFonts w:asciiTheme="minorHAnsi" w:hAnsiTheme="minorHAnsi" w:cstheme="minorHAnsi"/>
        <w:lang w:val="nl-BE"/>
      </w:rPr>
      <w:tab/>
    </w:r>
    <w:proofErr w:type="spellStart"/>
    <w:r w:rsidR="00F25EBB">
      <w:rPr>
        <w:rFonts w:asciiTheme="minorHAnsi" w:hAnsiTheme="minorHAnsi" w:cstheme="minorHAnsi"/>
        <w:lang w:val="nl-BE"/>
      </w:rPr>
      <w:t>RhinoParol</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850FA"/>
    <w:multiLevelType w:val="hybridMultilevel"/>
    <w:tmpl w:val="B2BA2F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D02478C"/>
    <w:multiLevelType w:val="hybridMultilevel"/>
    <w:tmpl w:val="1BA4DC1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E980B9A"/>
    <w:multiLevelType w:val="hybridMultilevel"/>
    <w:tmpl w:val="7A348B2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0AE1089"/>
    <w:multiLevelType w:val="hybridMultilevel"/>
    <w:tmpl w:val="FDC073E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0BC3254"/>
    <w:multiLevelType w:val="hybridMultilevel"/>
    <w:tmpl w:val="045A4C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BA21D41"/>
    <w:multiLevelType w:val="hybridMultilevel"/>
    <w:tmpl w:val="E6DADB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C770850"/>
    <w:multiLevelType w:val="hybridMultilevel"/>
    <w:tmpl w:val="1D743B2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7" w15:restartNumberingAfterBreak="0">
    <w:nsid w:val="2DFE22F6"/>
    <w:multiLevelType w:val="hybridMultilevel"/>
    <w:tmpl w:val="CEF631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2732EC2"/>
    <w:multiLevelType w:val="hybridMultilevel"/>
    <w:tmpl w:val="9C60A1DE"/>
    <w:lvl w:ilvl="0" w:tplc="08090001">
      <w:start w:val="1"/>
      <w:numFmt w:val="bullet"/>
      <w:lvlText w:val=""/>
      <w:lvlJc w:val="left"/>
      <w:pPr>
        <w:ind w:left="1287"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1">
      <w:start w:val="1"/>
      <w:numFmt w:val="bullet"/>
      <w:lvlText w:val=""/>
      <w:lvlJc w:val="left"/>
      <w:pPr>
        <w:ind w:left="2160" w:hanging="360"/>
      </w:pPr>
      <w:rPr>
        <w:rFonts w:ascii="Symbol" w:hAnsi="Symbol"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6E357F3"/>
    <w:multiLevelType w:val="hybridMultilevel"/>
    <w:tmpl w:val="8132BF58"/>
    <w:lvl w:ilvl="0" w:tplc="A6E8BE02">
      <w:start w:val="1"/>
      <w:numFmt w:val="bullet"/>
      <w:lvlText w:val="-"/>
      <w:lvlJc w:val="left"/>
      <w:pPr>
        <w:ind w:left="927" w:hanging="360"/>
      </w:pPr>
      <w:rPr>
        <w:rFonts w:ascii="Courier New" w:hAnsi="Courier New" w:hint="default"/>
        <w:b/>
        <w:i w:val="0"/>
        <w:vertAlign w:val="baseline"/>
      </w:rPr>
    </w:lvl>
    <w:lvl w:ilvl="1" w:tplc="A6E8BE02">
      <w:start w:val="1"/>
      <w:numFmt w:val="bullet"/>
      <w:lvlText w:val="-"/>
      <w:lvlJc w:val="left"/>
      <w:pPr>
        <w:ind w:left="1647" w:hanging="360"/>
      </w:pPr>
      <w:rPr>
        <w:rFonts w:ascii="Courier New" w:hAnsi="Courier New" w:hint="default"/>
        <w:b/>
        <w:i w:val="0"/>
        <w:vertAlign w:val="baseline"/>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0" w15:restartNumberingAfterBreak="0">
    <w:nsid w:val="3C530DFA"/>
    <w:multiLevelType w:val="hybridMultilevel"/>
    <w:tmpl w:val="B43E46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0640A80"/>
    <w:multiLevelType w:val="multilevel"/>
    <w:tmpl w:val="FDAC3D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0D4E1E"/>
    <w:multiLevelType w:val="hybridMultilevel"/>
    <w:tmpl w:val="2702E4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44386AD1"/>
    <w:multiLevelType w:val="hybridMultilevel"/>
    <w:tmpl w:val="2B5CAD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CDD7AC5"/>
    <w:multiLevelType w:val="hybridMultilevel"/>
    <w:tmpl w:val="6818F3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1FA29FA"/>
    <w:multiLevelType w:val="multilevel"/>
    <w:tmpl w:val="12EC5118"/>
    <w:lvl w:ilvl="0">
      <w:start w:val="1"/>
      <w:numFmt w:val="bullet"/>
      <w:lvlText w:val=""/>
      <w:lvlJc w:val="left"/>
      <w:pPr>
        <w:tabs>
          <w:tab w:val="num" w:pos="1287"/>
        </w:tabs>
        <w:ind w:left="1287" w:hanging="720"/>
      </w:pPr>
      <w:rPr>
        <w:rFonts w:ascii="Symbol" w:hAnsi="Symbol" w:hint="default"/>
      </w:rPr>
    </w:lvl>
    <w:lvl w:ilvl="1">
      <w:start w:val="1"/>
      <w:numFmt w:val="decimal"/>
      <w:lvlText w:val="%2."/>
      <w:lvlJc w:val="left"/>
      <w:pPr>
        <w:tabs>
          <w:tab w:val="num" w:pos="2007"/>
        </w:tabs>
        <w:ind w:left="2007" w:hanging="720"/>
      </w:pPr>
    </w:lvl>
    <w:lvl w:ilvl="2">
      <w:start w:val="1"/>
      <w:numFmt w:val="decimal"/>
      <w:lvlText w:val="%3."/>
      <w:lvlJc w:val="left"/>
      <w:pPr>
        <w:tabs>
          <w:tab w:val="num" w:pos="2727"/>
        </w:tabs>
        <w:ind w:left="2727" w:hanging="720"/>
      </w:pPr>
    </w:lvl>
    <w:lvl w:ilvl="3">
      <w:start w:val="1"/>
      <w:numFmt w:val="decimal"/>
      <w:lvlText w:val="%4."/>
      <w:lvlJc w:val="left"/>
      <w:pPr>
        <w:tabs>
          <w:tab w:val="num" w:pos="3447"/>
        </w:tabs>
        <w:ind w:left="3447" w:hanging="720"/>
      </w:pPr>
    </w:lvl>
    <w:lvl w:ilvl="4">
      <w:start w:val="1"/>
      <w:numFmt w:val="decimal"/>
      <w:lvlText w:val="%5."/>
      <w:lvlJc w:val="left"/>
      <w:pPr>
        <w:tabs>
          <w:tab w:val="num" w:pos="4167"/>
        </w:tabs>
        <w:ind w:left="4167" w:hanging="720"/>
      </w:pPr>
    </w:lvl>
    <w:lvl w:ilvl="5">
      <w:start w:val="1"/>
      <w:numFmt w:val="decimal"/>
      <w:lvlText w:val="%6."/>
      <w:lvlJc w:val="left"/>
      <w:pPr>
        <w:tabs>
          <w:tab w:val="num" w:pos="4887"/>
        </w:tabs>
        <w:ind w:left="4887" w:hanging="720"/>
      </w:pPr>
    </w:lvl>
    <w:lvl w:ilvl="6">
      <w:start w:val="1"/>
      <w:numFmt w:val="decimal"/>
      <w:lvlText w:val="%7."/>
      <w:lvlJc w:val="left"/>
      <w:pPr>
        <w:tabs>
          <w:tab w:val="num" w:pos="5607"/>
        </w:tabs>
        <w:ind w:left="5607" w:hanging="720"/>
      </w:pPr>
    </w:lvl>
    <w:lvl w:ilvl="7">
      <w:start w:val="1"/>
      <w:numFmt w:val="decimal"/>
      <w:lvlText w:val="%8."/>
      <w:lvlJc w:val="left"/>
      <w:pPr>
        <w:tabs>
          <w:tab w:val="num" w:pos="6327"/>
        </w:tabs>
        <w:ind w:left="6327" w:hanging="720"/>
      </w:pPr>
    </w:lvl>
    <w:lvl w:ilvl="8">
      <w:start w:val="1"/>
      <w:numFmt w:val="decimal"/>
      <w:lvlText w:val="%9."/>
      <w:lvlJc w:val="left"/>
      <w:pPr>
        <w:tabs>
          <w:tab w:val="num" w:pos="7047"/>
        </w:tabs>
        <w:ind w:left="7047" w:hanging="720"/>
      </w:pPr>
    </w:lvl>
  </w:abstractNum>
  <w:abstractNum w:abstractNumId="16" w15:restartNumberingAfterBreak="0">
    <w:nsid w:val="563567DB"/>
    <w:multiLevelType w:val="hybridMultilevel"/>
    <w:tmpl w:val="2DB24E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8697EA3"/>
    <w:multiLevelType w:val="hybridMultilevel"/>
    <w:tmpl w:val="1338CC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BF33E8F"/>
    <w:multiLevelType w:val="hybridMultilevel"/>
    <w:tmpl w:val="608434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4625736"/>
    <w:multiLevelType w:val="hybridMultilevel"/>
    <w:tmpl w:val="DD3852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A49391F"/>
    <w:multiLevelType w:val="hybridMultilevel"/>
    <w:tmpl w:val="645EF7AC"/>
    <w:lvl w:ilvl="0" w:tplc="0413000F">
      <w:start w:val="8"/>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8120B44"/>
    <w:multiLevelType w:val="hybridMultilevel"/>
    <w:tmpl w:val="B3C86C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786A5AC8"/>
    <w:multiLevelType w:val="hybridMultilevel"/>
    <w:tmpl w:val="19D43E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79F622A0"/>
    <w:multiLevelType w:val="hybridMultilevel"/>
    <w:tmpl w:val="1A405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A1C50C7"/>
    <w:multiLevelType w:val="hybridMultilevel"/>
    <w:tmpl w:val="3258D3E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3"/>
  </w:num>
  <w:num w:numId="2">
    <w:abstractNumId w:val="3"/>
  </w:num>
  <w:num w:numId="3">
    <w:abstractNumId w:val="20"/>
  </w:num>
  <w:num w:numId="4">
    <w:abstractNumId w:val="6"/>
  </w:num>
  <w:num w:numId="5">
    <w:abstractNumId w:val="1"/>
  </w:num>
  <w:num w:numId="6">
    <w:abstractNumId w:val="7"/>
  </w:num>
  <w:num w:numId="7">
    <w:abstractNumId w:val="14"/>
  </w:num>
  <w:num w:numId="8">
    <w:abstractNumId w:val="12"/>
  </w:num>
  <w:num w:numId="9">
    <w:abstractNumId w:val="4"/>
  </w:num>
  <w:num w:numId="10">
    <w:abstractNumId w:val="9"/>
  </w:num>
  <w:num w:numId="11">
    <w:abstractNumId w:val="13"/>
  </w:num>
  <w:num w:numId="12">
    <w:abstractNumId w:val="10"/>
  </w:num>
  <w:num w:numId="13">
    <w:abstractNumId w:val="22"/>
  </w:num>
  <w:num w:numId="14">
    <w:abstractNumId w:val="24"/>
  </w:num>
  <w:num w:numId="15">
    <w:abstractNumId w:val="0"/>
  </w:num>
  <w:num w:numId="16">
    <w:abstractNumId w:val="16"/>
  </w:num>
  <w:num w:numId="17">
    <w:abstractNumId w:val="18"/>
  </w:num>
  <w:num w:numId="18">
    <w:abstractNumId w:val="21"/>
  </w:num>
  <w:num w:numId="19">
    <w:abstractNumId w:val="2"/>
  </w:num>
  <w:num w:numId="20">
    <w:abstractNumId w:val="17"/>
  </w:num>
  <w:num w:numId="21">
    <w:abstractNumId w:val="5"/>
  </w:num>
  <w:num w:numId="22">
    <w:abstractNumId w:val="8"/>
  </w:num>
  <w:num w:numId="23">
    <w:abstractNumId w:val="19"/>
  </w:num>
  <w:num w:numId="24">
    <w:abstractNumId w:val="1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C8F"/>
    <w:rsid w:val="000528D6"/>
    <w:rsid w:val="000748BF"/>
    <w:rsid w:val="000C2DBE"/>
    <w:rsid w:val="000D3F2E"/>
    <w:rsid w:val="00183134"/>
    <w:rsid w:val="001957AC"/>
    <w:rsid w:val="001B6CF2"/>
    <w:rsid w:val="001C56DA"/>
    <w:rsid w:val="00217EEF"/>
    <w:rsid w:val="00233748"/>
    <w:rsid w:val="00282B8D"/>
    <w:rsid w:val="002D2DDB"/>
    <w:rsid w:val="002E5B9A"/>
    <w:rsid w:val="003042F5"/>
    <w:rsid w:val="003347FE"/>
    <w:rsid w:val="0035028D"/>
    <w:rsid w:val="0037400C"/>
    <w:rsid w:val="00391C75"/>
    <w:rsid w:val="003A6963"/>
    <w:rsid w:val="003F7302"/>
    <w:rsid w:val="00425644"/>
    <w:rsid w:val="00437D98"/>
    <w:rsid w:val="00461068"/>
    <w:rsid w:val="004A0062"/>
    <w:rsid w:val="004D1013"/>
    <w:rsid w:val="004D2B5D"/>
    <w:rsid w:val="00595104"/>
    <w:rsid w:val="005D4BF3"/>
    <w:rsid w:val="00620821"/>
    <w:rsid w:val="00641093"/>
    <w:rsid w:val="006523F0"/>
    <w:rsid w:val="00666CC1"/>
    <w:rsid w:val="00673459"/>
    <w:rsid w:val="006829C3"/>
    <w:rsid w:val="007375FA"/>
    <w:rsid w:val="00752ED8"/>
    <w:rsid w:val="007A0C5B"/>
    <w:rsid w:val="007A2718"/>
    <w:rsid w:val="00817962"/>
    <w:rsid w:val="008444C5"/>
    <w:rsid w:val="00881C9C"/>
    <w:rsid w:val="00920C8F"/>
    <w:rsid w:val="0094385E"/>
    <w:rsid w:val="0097685B"/>
    <w:rsid w:val="009F18BA"/>
    <w:rsid w:val="00A02143"/>
    <w:rsid w:val="00A206A3"/>
    <w:rsid w:val="00A21113"/>
    <w:rsid w:val="00A42EEE"/>
    <w:rsid w:val="00AE4DD7"/>
    <w:rsid w:val="00AF0946"/>
    <w:rsid w:val="00AF262D"/>
    <w:rsid w:val="00B27B20"/>
    <w:rsid w:val="00B3775A"/>
    <w:rsid w:val="00B73A30"/>
    <w:rsid w:val="00B83AFB"/>
    <w:rsid w:val="00BC20EE"/>
    <w:rsid w:val="00C15BF9"/>
    <w:rsid w:val="00C40214"/>
    <w:rsid w:val="00C62FA7"/>
    <w:rsid w:val="00CC1602"/>
    <w:rsid w:val="00CE5CA2"/>
    <w:rsid w:val="00CF6356"/>
    <w:rsid w:val="00D17E5E"/>
    <w:rsid w:val="00D27128"/>
    <w:rsid w:val="00D4578E"/>
    <w:rsid w:val="00D468E0"/>
    <w:rsid w:val="00D5449E"/>
    <w:rsid w:val="00DA3B93"/>
    <w:rsid w:val="00DB658D"/>
    <w:rsid w:val="00DD57A4"/>
    <w:rsid w:val="00DF7155"/>
    <w:rsid w:val="00E30FF2"/>
    <w:rsid w:val="00E6522D"/>
    <w:rsid w:val="00E939F3"/>
    <w:rsid w:val="00ED2565"/>
    <w:rsid w:val="00F25EBB"/>
    <w:rsid w:val="00F6225E"/>
    <w:rsid w:val="00F752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7CBD72A-23D6-47AC-A7D6-862528C2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B8D"/>
    <w:pPr>
      <w:spacing w:after="0" w:line="240" w:lineRule="auto"/>
    </w:pPr>
    <w:rPr>
      <w:rFonts w:ascii="Times New Roman" w:eastAsia="Times New Roman" w:hAnsi="Times New Roman" w:cs="Times New Roman"/>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2B8D"/>
    <w:rPr>
      <w:rFonts w:ascii="Times New Roman" w:hAnsi="Times New Roman" w:cs="Times New Roman" w:hint="default"/>
      <w:color w:val="0000FF"/>
      <w:u w:val="single"/>
    </w:rPr>
  </w:style>
  <w:style w:type="paragraph" w:styleId="Header">
    <w:name w:val="header"/>
    <w:basedOn w:val="Normal"/>
    <w:link w:val="HeaderChar"/>
    <w:uiPriority w:val="99"/>
    <w:unhideWhenUsed/>
    <w:rsid w:val="00282B8D"/>
    <w:pPr>
      <w:widowControl w:val="0"/>
      <w:tabs>
        <w:tab w:val="center" w:pos="4153"/>
        <w:tab w:val="right" w:pos="8306"/>
      </w:tabs>
    </w:pPr>
    <w:rPr>
      <w:rFonts w:ascii="Helvetica" w:hAnsi="Helvetica"/>
    </w:rPr>
  </w:style>
  <w:style w:type="character" w:customStyle="1" w:styleId="HeaderChar">
    <w:name w:val="Header Char"/>
    <w:basedOn w:val="DefaultParagraphFont"/>
    <w:link w:val="Header"/>
    <w:uiPriority w:val="99"/>
    <w:rsid w:val="00282B8D"/>
    <w:rPr>
      <w:rFonts w:ascii="Helvetica" w:eastAsia="Times New Roman" w:hAnsi="Helvetica" w:cs="Times New Roman"/>
      <w:szCs w:val="20"/>
      <w:lang w:val="fr-FR"/>
    </w:rPr>
  </w:style>
  <w:style w:type="paragraph" w:styleId="BodyTextIndent">
    <w:name w:val="Body Text Indent"/>
    <w:basedOn w:val="Normal"/>
    <w:link w:val="BodyTextIndentChar"/>
    <w:uiPriority w:val="99"/>
    <w:semiHidden/>
    <w:unhideWhenUsed/>
    <w:rsid w:val="00282B8D"/>
    <w:pPr>
      <w:suppressAutoHyphens/>
      <w:ind w:left="567" w:hanging="567"/>
    </w:pPr>
    <w:rPr>
      <w:bCs/>
    </w:rPr>
  </w:style>
  <w:style w:type="character" w:customStyle="1" w:styleId="BodyTextIndentChar">
    <w:name w:val="Body Text Indent Char"/>
    <w:basedOn w:val="DefaultParagraphFont"/>
    <w:link w:val="BodyTextIndent"/>
    <w:uiPriority w:val="99"/>
    <w:semiHidden/>
    <w:rsid w:val="00282B8D"/>
    <w:rPr>
      <w:rFonts w:ascii="Times New Roman" w:eastAsia="Times New Roman" w:hAnsi="Times New Roman" w:cs="Times New Roman"/>
      <w:bCs/>
      <w:szCs w:val="20"/>
      <w:lang w:val="fr-FR"/>
    </w:rPr>
  </w:style>
  <w:style w:type="paragraph" w:customStyle="1" w:styleId="EMEAEnBodyText">
    <w:name w:val="EMEA En Body Text"/>
    <w:basedOn w:val="Normal"/>
    <w:uiPriority w:val="99"/>
    <w:rsid w:val="00282B8D"/>
    <w:pPr>
      <w:spacing w:before="120" w:after="120"/>
      <w:jc w:val="both"/>
    </w:pPr>
    <w:rPr>
      <w:lang w:val="en-US"/>
    </w:rPr>
  </w:style>
  <w:style w:type="paragraph" w:styleId="Footer">
    <w:name w:val="footer"/>
    <w:basedOn w:val="Normal"/>
    <w:link w:val="FooterChar"/>
    <w:uiPriority w:val="99"/>
    <w:unhideWhenUsed/>
    <w:rsid w:val="007A2718"/>
    <w:pPr>
      <w:tabs>
        <w:tab w:val="center" w:pos="4536"/>
        <w:tab w:val="right" w:pos="9072"/>
      </w:tabs>
    </w:pPr>
  </w:style>
  <w:style w:type="character" w:customStyle="1" w:styleId="FooterChar">
    <w:name w:val="Footer Char"/>
    <w:basedOn w:val="DefaultParagraphFont"/>
    <w:link w:val="Footer"/>
    <w:uiPriority w:val="99"/>
    <w:rsid w:val="007A2718"/>
    <w:rPr>
      <w:rFonts w:ascii="Times New Roman" w:eastAsia="Times New Roman" w:hAnsi="Times New Roman" w:cs="Times New Roman"/>
      <w:szCs w:val="20"/>
      <w:lang w:val="fr-FR"/>
    </w:rPr>
  </w:style>
  <w:style w:type="paragraph" w:styleId="ListParagraph">
    <w:name w:val="List Paragraph"/>
    <w:basedOn w:val="Normal"/>
    <w:uiPriority w:val="34"/>
    <w:qFormat/>
    <w:rsid w:val="00F6225E"/>
    <w:pPr>
      <w:ind w:left="720"/>
      <w:contextualSpacing/>
    </w:pPr>
  </w:style>
  <w:style w:type="paragraph" w:styleId="BalloonText">
    <w:name w:val="Balloon Text"/>
    <w:basedOn w:val="Normal"/>
    <w:link w:val="BalloonTextChar"/>
    <w:uiPriority w:val="99"/>
    <w:semiHidden/>
    <w:unhideWhenUsed/>
    <w:rsid w:val="00B3775A"/>
    <w:rPr>
      <w:rFonts w:ascii="Tahoma" w:hAnsi="Tahoma" w:cs="Tahoma"/>
      <w:sz w:val="16"/>
      <w:szCs w:val="16"/>
    </w:rPr>
  </w:style>
  <w:style w:type="character" w:customStyle="1" w:styleId="BalloonTextChar">
    <w:name w:val="Balloon Text Char"/>
    <w:basedOn w:val="DefaultParagraphFont"/>
    <w:link w:val="BalloonText"/>
    <w:uiPriority w:val="99"/>
    <w:semiHidden/>
    <w:rsid w:val="00B3775A"/>
    <w:rPr>
      <w:rFonts w:ascii="Tahoma" w:eastAsia="Times New Roman" w:hAnsi="Tahoma" w:cs="Tahoma"/>
      <w:sz w:val="16"/>
      <w:szCs w:val="16"/>
      <w:lang w:val="fr-FR"/>
    </w:rPr>
  </w:style>
  <w:style w:type="paragraph" w:customStyle="1" w:styleId="Default">
    <w:name w:val="Default"/>
    <w:rsid w:val="00D5449E"/>
    <w:pPr>
      <w:autoSpaceDE w:val="0"/>
      <w:autoSpaceDN w:val="0"/>
      <w:adjustRightInd w:val="0"/>
      <w:spacing w:after="0" w:line="240" w:lineRule="auto"/>
    </w:pPr>
    <w:rPr>
      <w:rFonts w:ascii="Calibri" w:hAnsi="Calibri" w:cs="Calibri"/>
      <w:color w:val="000000"/>
      <w:sz w:val="24"/>
      <w:szCs w:val="24"/>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966822">
      <w:bodyDiv w:val="1"/>
      <w:marLeft w:val="0"/>
      <w:marRight w:val="0"/>
      <w:marTop w:val="0"/>
      <w:marBottom w:val="0"/>
      <w:divBdr>
        <w:top w:val="none" w:sz="0" w:space="0" w:color="auto"/>
        <w:left w:val="none" w:sz="0" w:space="0" w:color="auto"/>
        <w:bottom w:val="none" w:sz="0" w:space="0" w:color="auto"/>
        <w:right w:val="none" w:sz="0" w:space="0" w:color="auto"/>
      </w:divBdr>
    </w:div>
    <w:div w:id="1739326328">
      <w:bodyDiv w:val="1"/>
      <w:marLeft w:val="0"/>
      <w:marRight w:val="0"/>
      <w:marTop w:val="0"/>
      <w:marBottom w:val="0"/>
      <w:divBdr>
        <w:top w:val="none" w:sz="0" w:space="0" w:color="auto"/>
        <w:left w:val="none" w:sz="0" w:space="0" w:color="auto"/>
        <w:bottom w:val="none" w:sz="0" w:space="0" w:color="auto"/>
        <w:right w:val="none" w:sz="0" w:space="0" w:color="auto"/>
      </w:divBdr>
    </w:div>
    <w:div w:id="174195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184D8-9FD7-47A2-8A50-FBE715AAD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2812</Words>
  <Characters>16030</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RCP</vt:lpstr>
      <vt:lpstr>RCP</vt:lpstr>
    </vt:vector>
  </TitlesOfParts>
  <Company>Dafra Pharma</Company>
  <LinksUpToDate>false</LinksUpToDate>
  <CharactersWithSpaces>18805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RCP</dc:title>
  <dc:subject>SPARHINT6</dc:subject>
  <dc:creator>Etienne Pellegrims; kvh</dc:creator>
  <cp:lastModifiedBy>Etienne Pellegrims</cp:lastModifiedBy>
  <cp:revision>4</cp:revision>
  <dcterms:created xsi:type="dcterms:W3CDTF">2019-04-02T15:53:00Z</dcterms:created>
  <dcterms:modified xsi:type="dcterms:W3CDTF">2019-04-16T08:24:00Z</dcterms:modified>
  <cp:version>02-2019</cp:version>
</cp:coreProperties>
</file>