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FA49F" w14:textId="77777777" w:rsidR="00BF1DCE" w:rsidRPr="004D474A" w:rsidRDefault="00BF1DCE" w:rsidP="003D6994">
      <w:pPr>
        <w:pStyle w:val="Kop1"/>
        <w:numPr>
          <w:ilvl w:val="0"/>
          <w:numId w:val="0"/>
        </w:numPr>
        <w:pBdr>
          <w:top w:val="single" w:sz="4" w:space="1" w:color="auto"/>
          <w:left w:val="single" w:sz="4" w:space="4" w:color="auto"/>
          <w:bottom w:val="single" w:sz="4" w:space="1" w:color="auto"/>
          <w:right w:val="single" w:sz="4" w:space="4" w:color="auto"/>
        </w:pBdr>
        <w:spacing w:before="0" w:line="360" w:lineRule="auto"/>
        <w:jc w:val="center"/>
        <w:rPr>
          <w:rFonts w:ascii="Calibri" w:hAnsi="Calibri"/>
          <w:lang w:val="en-GB"/>
        </w:rPr>
      </w:pPr>
      <w:r w:rsidRPr="004D474A">
        <w:rPr>
          <w:rFonts w:ascii="Calibri" w:hAnsi="Calibri"/>
          <w:lang w:val="en-GB"/>
        </w:rPr>
        <w:t>Summary of Product Characteristics</w:t>
      </w:r>
    </w:p>
    <w:p w14:paraId="5D3B3815" w14:textId="77777777" w:rsidR="004453F0" w:rsidRPr="004D474A" w:rsidRDefault="004453F0" w:rsidP="00060D28">
      <w:pPr>
        <w:rPr>
          <w:lang w:val="en-GB"/>
        </w:rPr>
      </w:pPr>
    </w:p>
    <w:p w14:paraId="43E3730B" w14:textId="75952D78" w:rsidR="00AE30FE" w:rsidRDefault="00AE30FE" w:rsidP="00104756">
      <w:pPr>
        <w:pStyle w:val="Lijstalinea"/>
        <w:numPr>
          <w:ilvl w:val="0"/>
          <w:numId w:val="12"/>
        </w:numPr>
        <w:ind w:left="567" w:hanging="851"/>
        <w:rPr>
          <w:rFonts w:asciiTheme="minorHAnsi" w:hAnsiTheme="minorHAnsi"/>
          <w:b/>
          <w:lang w:val="en-GB"/>
        </w:rPr>
      </w:pPr>
      <w:r w:rsidRPr="004D474A">
        <w:rPr>
          <w:rFonts w:asciiTheme="minorHAnsi" w:hAnsiTheme="minorHAnsi"/>
          <w:b/>
          <w:lang w:val="en-GB"/>
        </w:rPr>
        <w:t>NAM</w:t>
      </w:r>
      <w:r w:rsidR="005B522A" w:rsidRPr="004D474A">
        <w:rPr>
          <w:rFonts w:asciiTheme="minorHAnsi" w:hAnsiTheme="minorHAnsi"/>
          <w:b/>
          <w:lang w:val="en-GB"/>
        </w:rPr>
        <w:t>E OF THE MEDICINAL PRODUCT</w:t>
      </w:r>
    </w:p>
    <w:p w14:paraId="76FE4150" w14:textId="77777777" w:rsidR="00157B24" w:rsidRPr="004D474A" w:rsidRDefault="00157B24" w:rsidP="00157B24">
      <w:pPr>
        <w:pStyle w:val="Lijstalinea"/>
        <w:ind w:left="567"/>
        <w:rPr>
          <w:rFonts w:asciiTheme="minorHAnsi" w:hAnsiTheme="minorHAnsi"/>
          <w:b/>
          <w:lang w:val="en-GB"/>
        </w:rPr>
      </w:pPr>
    </w:p>
    <w:p w14:paraId="07C138AD" w14:textId="43298A63" w:rsidR="0097660E" w:rsidRPr="0059323B" w:rsidRDefault="0097660E" w:rsidP="00104756">
      <w:pPr>
        <w:pStyle w:val="Lijstalinea"/>
        <w:ind w:left="567"/>
        <w:rPr>
          <w:rFonts w:asciiTheme="minorHAnsi" w:hAnsiTheme="minorHAnsi"/>
          <w:b/>
          <w:bCs/>
          <w:lang w:val="en-GB"/>
        </w:rPr>
      </w:pPr>
      <w:r w:rsidRPr="0059323B">
        <w:rPr>
          <w:rFonts w:asciiTheme="minorHAnsi" w:hAnsiTheme="minorHAnsi"/>
          <w:b/>
          <w:bCs/>
          <w:lang w:val="en-GB"/>
        </w:rPr>
        <w:t>G</w:t>
      </w:r>
      <w:r w:rsidR="0059323B" w:rsidRPr="0059323B">
        <w:rPr>
          <w:rFonts w:asciiTheme="minorHAnsi" w:hAnsiTheme="minorHAnsi"/>
          <w:b/>
          <w:bCs/>
          <w:lang w:val="en-GB"/>
        </w:rPr>
        <w:t>LYFERON®</w:t>
      </w:r>
      <w:r w:rsidRPr="0059323B">
        <w:rPr>
          <w:rFonts w:asciiTheme="minorHAnsi" w:hAnsiTheme="minorHAnsi"/>
          <w:b/>
          <w:bCs/>
          <w:lang w:val="en-GB"/>
        </w:rPr>
        <w:t xml:space="preserve"> </w:t>
      </w:r>
      <w:r w:rsidR="004F6216">
        <w:rPr>
          <w:rFonts w:asciiTheme="minorHAnsi" w:hAnsiTheme="minorHAnsi"/>
          <w:b/>
          <w:bCs/>
          <w:lang w:val="en-GB"/>
        </w:rPr>
        <w:t>1000</w:t>
      </w:r>
    </w:p>
    <w:p w14:paraId="1AA809DC" w14:textId="53EA1F8D" w:rsidR="0097660E" w:rsidRPr="004D474A" w:rsidRDefault="0097660E" w:rsidP="00104756">
      <w:pPr>
        <w:pStyle w:val="Lijstalinea"/>
        <w:ind w:left="567"/>
        <w:rPr>
          <w:rFonts w:asciiTheme="minorHAnsi" w:hAnsiTheme="minorHAnsi"/>
          <w:i/>
          <w:lang w:val="en-GB"/>
        </w:rPr>
      </w:pPr>
      <w:r w:rsidRPr="004D474A">
        <w:rPr>
          <w:rFonts w:asciiTheme="minorHAnsi" w:hAnsiTheme="minorHAnsi"/>
          <w:i/>
          <w:lang w:val="en-GB"/>
        </w:rPr>
        <w:t xml:space="preserve">Metformin </w:t>
      </w:r>
      <w:r w:rsidR="00661EAB">
        <w:rPr>
          <w:rFonts w:asciiTheme="minorHAnsi" w:hAnsiTheme="minorHAnsi"/>
          <w:i/>
          <w:lang w:val="en-GB"/>
        </w:rPr>
        <w:t>HCl</w:t>
      </w:r>
    </w:p>
    <w:p w14:paraId="3B8EFB90" w14:textId="77777777" w:rsidR="0097660E" w:rsidRPr="004F6216" w:rsidRDefault="0097660E" w:rsidP="00104756">
      <w:pPr>
        <w:pStyle w:val="Lijstalinea"/>
        <w:ind w:left="567"/>
        <w:rPr>
          <w:rFonts w:asciiTheme="minorHAnsi" w:hAnsiTheme="minorHAnsi"/>
          <w:b/>
          <w:bCs/>
          <w:lang w:val="en-GB"/>
        </w:rPr>
      </w:pPr>
    </w:p>
    <w:p w14:paraId="29A03CAC" w14:textId="7E086A7E" w:rsidR="0097660E" w:rsidRPr="004F6216" w:rsidRDefault="00B17706" w:rsidP="00ED08AA">
      <w:pPr>
        <w:pStyle w:val="Lijstalinea"/>
        <w:numPr>
          <w:ilvl w:val="1"/>
          <w:numId w:val="12"/>
        </w:numPr>
        <w:ind w:left="1418" w:hanging="851"/>
        <w:rPr>
          <w:rFonts w:asciiTheme="minorHAnsi" w:hAnsiTheme="minorHAnsi"/>
          <w:b/>
          <w:bCs/>
          <w:lang w:val="en-GB"/>
        </w:rPr>
      </w:pPr>
      <w:r w:rsidRPr="004F6216">
        <w:rPr>
          <w:rFonts w:asciiTheme="minorHAnsi" w:hAnsiTheme="minorHAnsi"/>
          <w:b/>
          <w:bCs/>
          <w:lang w:val="en-GB"/>
        </w:rPr>
        <w:t>Strength</w:t>
      </w:r>
      <w:r w:rsidR="00EA01B0" w:rsidRPr="004F6216">
        <w:rPr>
          <w:rFonts w:asciiTheme="minorHAnsi" w:hAnsiTheme="minorHAnsi"/>
          <w:b/>
          <w:bCs/>
          <w:lang w:val="en-GB"/>
        </w:rPr>
        <w:t xml:space="preserve">: </w:t>
      </w:r>
      <w:r w:rsidR="004F6216" w:rsidRPr="004F6216">
        <w:rPr>
          <w:rFonts w:asciiTheme="minorHAnsi" w:hAnsiTheme="minorHAnsi"/>
          <w:lang w:val="en-GB"/>
        </w:rPr>
        <w:t>1000</w:t>
      </w:r>
      <w:r w:rsidR="0097660E" w:rsidRPr="004F6216">
        <w:rPr>
          <w:rFonts w:asciiTheme="minorHAnsi" w:hAnsiTheme="minorHAnsi"/>
          <w:lang w:val="en-GB"/>
        </w:rPr>
        <w:t xml:space="preserve"> mg</w:t>
      </w:r>
    </w:p>
    <w:p w14:paraId="44A13047" w14:textId="23AC851C" w:rsidR="0097660E" w:rsidRPr="00EA01B0" w:rsidRDefault="0097660E" w:rsidP="007D4882">
      <w:pPr>
        <w:pStyle w:val="Lijstalinea"/>
        <w:numPr>
          <w:ilvl w:val="1"/>
          <w:numId w:val="12"/>
        </w:numPr>
        <w:ind w:left="1418" w:hanging="851"/>
        <w:rPr>
          <w:rFonts w:asciiTheme="minorHAnsi" w:hAnsiTheme="minorHAnsi"/>
          <w:b/>
          <w:lang w:val="en-GB"/>
        </w:rPr>
      </w:pPr>
      <w:r w:rsidRPr="004F6216">
        <w:rPr>
          <w:rFonts w:asciiTheme="minorHAnsi" w:hAnsiTheme="minorHAnsi"/>
          <w:b/>
          <w:bCs/>
          <w:lang w:val="en-GB"/>
        </w:rPr>
        <w:t>P</w:t>
      </w:r>
      <w:r w:rsidR="0011316A" w:rsidRPr="004F6216">
        <w:rPr>
          <w:rFonts w:asciiTheme="minorHAnsi" w:hAnsiTheme="minorHAnsi"/>
          <w:b/>
          <w:bCs/>
          <w:lang w:val="en-GB"/>
        </w:rPr>
        <w:t>harmaceutical form</w:t>
      </w:r>
      <w:r w:rsidR="00EA01B0" w:rsidRPr="004F6216">
        <w:rPr>
          <w:rFonts w:asciiTheme="minorHAnsi" w:hAnsiTheme="minorHAnsi"/>
          <w:b/>
          <w:bCs/>
          <w:lang w:val="en-GB"/>
        </w:rPr>
        <w:t xml:space="preserve">: </w:t>
      </w:r>
      <w:r w:rsidRPr="004F6216">
        <w:rPr>
          <w:rFonts w:asciiTheme="minorHAnsi" w:hAnsiTheme="minorHAnsi"/>
          <w:lang w:val="en-GB"/>
        </w:rPr>
        <w:t>Film coated tablet</w:t>
      </w:r>
    </w:p>
    <w:p w14:paraId="76C5F0A0" w14:textId="77777777" w:rsidR="002B3DDF" w:rsidRPr="004D474A" w:rsidRDefault="002B3DDF" w:rsidP="00104756">
      <w:pPr>
        <w:pStyle w:val="Lijstalinea"/>
        <w:ind w:left="567"/>
        <w:rPr>
          <w:rFonts w:asciiTheme="minorHAnsi" w:hAnsiTheme="minorHAnsi"/>
          <w:lang w:val="en-GB"/>
        </w:rPr>
      </w:pPr>
    </w:p>
    <w:p w14:paraId="22AD2C5A" w14:textId="77777777" w:rsidR="00AE30FE" w:rsidRPr="004D474A" w:rsidRDefault="00AE30FE" w:rsidP="00104756">
      <w:pPr>
        <w:pStyle w:val="Lijstalinea"/>
        <w:numPr>
          <w:ilvl w:val="0"/>
          <w:numId w:val="12"/>
        </w:numPr>
        <w:ind w:left="567" w:hanging="851"/>
        <w:rPr>
          <w:rFonts w:asciiTheme="minorHAnsi" w:hAnsiTheme="minorHAnsi"/>
          <w:b/>
          <w:lang w:val="en-GB"/>
        </w:rPr>
      </w:pPr>
      <w:r w:rsidRPr="004D474A">
        <w:rPr>
          <w:rFonts w:asciiTheme="minorHAnsi" w:hAnsiTheme="minorHAnsi"/>
          <w:b/>
          <w:lang w:val="en-GB"/>
        </w:rPr>
        <w:t>QUALITATIVE AND QUANTITATIVE COMPOSITION</w:t>
      </w:r>
    </w:p>
    <w:p w14:paraId="688B46D8" w14:textId="77777777" w:rsidR="0097660E" w:rsidRPr="004D474A" w:rsidRDefault="0097660E" w:rsidP="00104756">
      <w:pPr>
        <w:pStyle w:val="Lijstalinea"/>
        <w:ind w:left="567"/>
        <w:rPr>
          <w:rFonts w:asciiTheme="minorHAnsi" w:hAnsiTheme="minorHAnsi"/>
          <w:lang w:val="en-GB"/>
        </w:rPr>
      </w:pPr>
    </w:p>
    <w:p w14:paraId="21054FAE" w14:textId="255DA844" w:rsidR="0097660E" w:rsidRPr="004D474A" w:rsidRDefault="0097660E" w:rsidP="00104756">
      <w:pPr>
        <w:pStyle w:val="Lijstalinea"/>
        <w:ind w:left="567"/>
        <w:rPr>
          <w:rFonts w:asciiTheme="minorHAnsi" w:hAnsiTheme="minorHAnsi"/>
          <w:lang w:val="en-GB"/>
        </w:rPr>
      </w:pPr>
      <w:r w:rsidRPr="004D474A">
        <w:rPr>
          <w:rFonts w:asciiTheme="minorHAnsi" w:hAnsiTheme="minorHAnsi"/>
          <w:lang w:val="en-GB"/>
        </w:rPr>
        <w:t xml:space="preserve">Each tablet contains </w:t>
      </w:r>
      <w:r w:rsidR="00157B24">
        <w:rPr>
          <w:rFonts w:asciiTheme="minorHAnsi" w:hAnsiTheme="minorHAnsi"/>
          <w:lang w:val="en-GB"/>
        </w:rPr>
        <w:t xml:space="preserve">1162.79 mg </w:t>
      </w:r>
      <w:r w:rsidRPr="004D474A">
        <w:rPr>
          <w:rFonts w:asciiTheme="minorHAnsi" w:hAnsiTheme="minorHAnsi"/>
          <w:lang w:val="en-GB"/>
        </w:rPr>
        <w:t xml:space="preserve">Metformin </w:t>
      </w:r>
      <w:r w:rsidR="00157B24">
        <w:rPr>
          <w:rFonts w:asciiTheme="minorHAnsi" w:hAnsiTheme="minorHAnsi"/>
          <w:lang w:val="en-GB"/>
        </w:rPr>
        <w:t>h</w:t>
      </w:r>
      <w:r w:rsidRPr="004D474A">
        <w:rPr>
          <w:rFonts w:asciiTheme="minorHAnsi" w:hAnsiTheme="minorHAnsi"/>
          <w:lang w:val="en-GB"/>
        </w:rPr>
        <w:t>ydrochloride DC granules</w:t>
      </w:r>
      <w:r w:rsidR="0084621B">
        <w:rPr>
          <w:rStyle w:val="Voetnootmarkering"/>
          <w:rFonts w:asciiTheme="minorHAnsi" w:hAnsiTheme="minorHAnsi"/>
          <w:lang w:val="en-GB"/>
        </w:rPr>
        <w:footnoteReference w:id="1"/>
      </w:r>
      <w:r w:rsidRPr="004D474A">
        <w:rPr>
          <w:rFonts w:asciiTheme="minorHAnsi" w:hAnsiTheme="minorHAnsi"/>
          <w:lang w:val="en-GB"/>
        </w:rPr>
        <w:t xml:space="preserve"> equivalent with Metformin </w:t>
      </w:r>
      <w:r w:rsidR="00157B24">
        <w:rPr>
          <w:rFonts w:asciiTheme="minorHAnsi" w:hAnsiTheme="minorHAnsi"/>
          <w:lang w:val="en-GB"/>
        </w:rPr>
        <w:t>hydrochloride 100</w:t>
      </w:r>
      <w:r w:rsidRPr="004D474A">
        <w:rPr>
          <w:rFonts w:asciiTheme="minorHAnsi" w:hAnsiTheme="minorHAnsi"/>
          <w:lang w:val="en-GB"/>
        </w:rPr>
        <w:t>0 mg.</w:t>
      </w:r>
    </w:p>
    <w:p w14:paraId="7E2480D1" w14:textId="77777777" w:rsidR="00CD0885" w:rsidRDefault="00CD0885" w:rsidP="00157B24">
      <w:pPr>
        <w:pStyle w:val="Lijstalinea"/>
        <w:ind w:left="567"/>
        <w:rPr>
          <w:rFonts w:asciiTheme="minorHAnsi" w:hAnsiTheme="minorHAnsi"/>
          <w:lang w:val="en-GB"/>
        </w:rPr>
      </w:pPr>
    </w:p>
    <w:p w14:paraId="54314486" w14:textId="1DCA8A33" w:rsidR="00157B24" w:rsidRDefault="00CD0885" w:rsidP="00157B24">
      <w:pPr>
        <w:pStyle w:val="Lijstalinea"/>
        <w:ind w:left="567"/>
        <w:rPr>
          <w:rFonts w:asciiTheme="minorHAnsi" w:hAnsiTheme="minorHAnsi"/>
          <w:lang w:val="en-GB"/>
        </w:rPr>
      </w:pPr>
      <w:r>
        <w:rPr>
          <w:rFonts w:asciiTheme="minorHAnsi" w:hAnsiTheme="minorHAnsi"/>
          <w:lang w:val="en-GB"/>
        </w:rPr>
        <w:t>Excipients with known effect: none</w:t>
      </w:r>
    </w:p>
    <w:p w14:paraId="230944DB" w14:textId="35A348EC" w:rsidR="00157B24" w:rsidRPr="004D474A" w:rsidRDefault="00157B24" w:rsidP="00157B24">
      <w:pPr>
        <w:pStyle w:val="Lijstalinea"/>
        <w:ind w:left="567"/>
        <w:rPr>
          <w:rFonts w:asciiTheme="minorHAnsi" w:hAnsiTheme="minorHAnsi"/>
          <w:lang w:val="en-GB"/>
        </w:rPr>
      </w:pPr>
      <w:r w:rsidRPr="004D474A">
        <w:rPr>
          <w:rFonts w:asciiTheme="minorHAnsi" w:hAnsiTheme="minorHAnsi"/>
          <w:lang w:val="en-GB"/>
        </w:rPr>
        <w:t>For the full list of excipients, see section 6.1.</w:t>
      </w:r>
    </w:p>
    <w:p w14:paraId="63CE9961" w14:textId="77777777" w:rsidR="0097660E" w:rsidRPr="004D474A" w:rsidRDefault="0097660E" w:rsidP="00104756">
      <w:pPr>
        <w:pStyle w:val="Lijstalinea"/>
        <w:ind w:left="567"/>
        <w:rPr>
          <w:rFonts w:asciiTheme="minorHAnsi" w:hAnsiTheme="minorHAnsi"/>
          <w:lang w:val="en-GB"/>
        </w:rPr>
      </w:pPr>
    </w:p>
    <w:p w14:paraId="07DF0FE9" w14:textId="77777777" w:rsidR="00AE30FE" w:rsidRPr="004D474A" w:rsidRDefault="00AE30FE" w:rsidP="00104756">
      <w:pPr>
        <w:pStyle w:val="Lijstalinea"/>
        <w:numPr>
          <w:ilvl w:val="0"/>
          <w:numId w:val="12"/>
        </w:numPr>
        <w:ind w:left="567" w:hanging="851"/>
        <w:rPr>
          <w:rFonts w:asciiTheme="minorHAnsi" w:hAnsiTheme="minorHAnsi"/>
          <w:b/>
          <w:lang w:val="en-GB"/>
        </w:rPr>
      </w:pPr>
      <w:r w:rsidRPr="004D474A">
        <w:rPr>
          <w:rFonts w:asciiTheme="minorHAnsi" w:hAnsiTheme="minorHAnsi"/>
          <w:b/>
          <w:lang w:val="en-GB"/>
        </w:rPr>
        <w:t>PHARMACEUTICAL FORM</w:t>
      </w:r>
    </w:p>
    <w:p w14:paraId="1371FFD1" w14:textId="7949AD06" w:rsidR="0097660E" w:rsidRPr="004D474A" w:rsidRDefault="0097660E" w:rsidP="00104756">
      <w:pPr>
        <w:pStyle w:val="Lijstalinea"/>
        <w:ind w:left="567"/>
        <w:rPr>
          <w:rFonts w:asciiTheme="minorHAnsi" w:hAnsiTheme="minorHAnsi"/>
          <w:lang w:val="en-GB"/>
        </w:rPr>
      </w:pPr>
      <w:r w:rsidRPr="004D474A">
        <w:rPr>
          <w:rFonts w:asciiTheme="minorHAnsi" w:hAnsiTheme="minorHAnsi"/>
          <w:lang w:val="en-GB"/>
        </w:rPr>
        <w:t>Film</w:t>
      </w:r>
      <w:r w:rsidR="004D474A">
        <w:rPr>
          <w:rFonts w:asciiTheme="minorHAnsi" w:hAnsiTheme="minorHAnsi"/>
          <w:lang w:val="en-GB"/>
        </w:rPr>
        <w:t>-</w:t>
      </w:r>
      <w:r w:rsidRPr="004D474A">
        <w:rPr>
          <w:rFonts w:asciiTheme="minorHAnsi" w:hAnsiTheme="minorHAnsi"/>
          <w:lang w:val="en-GB"/>
        </w:rPr>
        <w:t>coated tablet</w:t>
      </w:r>
    </w:p>
    <w:p w14:paraId="32A15B8E" w14:textId="77777777" w:rsidR="00CB4B6B" w:rsidRPr="00CB4B6B" w:rsidRDefault="00CB4B6B" w:rsidP="00CB4B6B">
      <w:pPr>
        <w:kinsoku w:val="0"/>
        <w:overflowPunct w:val="0"/>
        <w:autoSpaceDE w:val="0"/>
        <w:autoSpaceDN w:val="0"/>
        <w:adjustRightInd w:val="0"/>
        <w:spacing w:after="0" w:line="244" w:lineRule="exact"/>
        <w:ind w:left="39" w:firstLine="528"/>
        <w:rPr>
          <w:rFonts w:ascii="Calibri" w:hAnsi="Calibri" w:cs="Calibri"/>
          <w:kern w:val="0"/>
          <w:lang w:val="nl-BE" w:eastAsia="en-US"/>
        </w:rPr>
      </w:pPr>
      <w:bookmarkStart w:id="1" w:name="_bookmark3"/>
      <w:bookmarkStart w:id="2" w:name="_bookmark2"/>
      <w:bookmarkStart w:id="3" w:name="_bookmark1"/>
      <w:bookmarkStart w:id="4" w:name="_bookmark0"/>
      <w:bookmarkStart w:id="5" w:name="3.2.P.1_DESCRIPTION_AND_COMPOSITION_OF_T"/>
      <w:bookmarkStart w:id="6" w:name="Description"/>
      <w:bookmarkStart w:id="7" w:name="Composition"/>
      <w:bookmarkEnd w:id="1"/>
      <w:bookmarkEnd w:id="2"/>
      <w:bookmarkEnd w:id="3"/>
      <w:bookmarkEnd w:id="4"/>
      <w:bookmarkEnd w:id="5"/>
      <w:bookmarkEnd w:id="6"/>
      <w:bookmarkEnd w:id="7"/>
      <w:r w:rsidRPr="00CB4B6B">
        <w:rPr>
          <w:rFonts w:ascii="Calibri" w:hAnsi="Calibri" w:cs="Calibri"/>
          <w:kern w:val="0"/>
          <w:lang w:val="nl-BE" w:eastAsia="en-US"/>
        </w:rPr>
        <w:t xml:space="preserve">White, oblong, </w:t>
      </w:r>
      <w:proofErr w:type="spellStart"/>
      <w:r w:rsidRPr="00CB4B6B">
        <w:rPr>
          <w:rFonts w:ascii="Calibri" w:hAnsi="Calibri" w:cs="Calibri"/>
          <w:kern w:val="0"/>
          <w:lang w:val="nl-BE" w:eastAsia="en-US"/>
        </w:rPr>
        <w:t>film-coated</w:t>
      </w:r>
      <w:proofErr w:type="spellEnd"/>
      <w:r w:rsidRPr="00CB4B6B">
        <w:rPr>
          <w:rFonts w:ascii="Calibri" w:hAnsi="Calibri" w:cs="Calibri"/>
          <w:kern w:val="0"/>
          <w:lang w:val="nl-BE" w:eastAsia="en-US"/>
        </w:rPr>
        <w:t xml:space="preserve"> tablet, </w:t>
      </w:r>
      <w:proofErr w:type="spellStart"/>
      <w:r w:rsidRPr="00CB4B6B">
        <w:rPr>
          <w:rFonts w:ascii="Calibri" w:hAnsi="Calibri" w:cs="Calibri"/>
          <w:kern w:val="0"/>
          <w:lang w:val="nl-BE" w:eastAsia="en-US"/>
        </w:rPr>
        <w:t>one</w:t>
      </w:r>
      <w:proofErr w:type="spellEnd"/>
      <w:r w:rsidRPr="00CB4B6B">
        <w:rPr>
          <w:rFonts w:ascii="Calibri" w:hAnsi="Calibri" w:cs="Calibri"/>
          <w:kern w:val="0"/>
          <w:lang w:val="nl-BE" w:eastAsia="en-US"/>
        </w:rPr>
        <w:t xml:space="preserve"> side </w:t>
      </w:r>
      <w:proofErr w:type="spellStart"/>
      <w:r w:rsidRPr="00CB4B6B">
        <w:rPr>
          <w:rFonts w:ascii="Calibri" w:hAnsi="Calibri" w:cs="Calibri"/>
          <w:kern w:val="0"/>
          <w:lang w:val="nl-BE" w:eastAsia="en-US"/>
        </w:rPr>
        <w:t>scored</w:t>
      </w:r>
      <w:proofErr w:type="spellEnd"/>
      <w:r w:rsidRPr="00CB4B6B">
        <w:rPr>
          <w:rFonts w:ascii="Calibri" w:hAnsi="Calibri" w:cs="Calibri"/>
          <w:kern w:val="0"/>
          <w:lang w:val="nl-BE" w:eastAsia="en-US"/>
        </w:rPr>
        <w:t>.</w:t>
      </w:r>
    </w:p>
    <w:p w14:paraId="176FA1D0" w14:textId="77777777" w:rsidR="0097660E" w:rsidRPr="004D474A" w:rsidRDefault="0097660E" w:rsidP="00104756">
      <w:pPr>
        <w:pStyle w:val="Lijstalinea"/>
        <w:ind w:left="567"/>
        <w:rPr>
          <w:rFonts w:asciiTheme="minorHAnsi" w:hAnsiTheme="minorHAnsi"/>
          <w:lang w:val="en-GB"/>
        </w:rPr>
      </w:pPr>
    </w:p>
    <w:p w14:paraId="309F5479" w14:textId="77777777" w:rsidR="00AE30FE" w:rsidRPr="004D474A" w:rsidRDefault="00AE30FE" w:rsidP="00104756">
      <w:pPr>
        <w:pStyle w:val="Lijstalinea"/>
        <w:numPr>
          <w:ilvl w:val="0"/>
          <w:numId w:val="12"/>
        </w:numPr>
        <w:ind w:left="567" w:hanging="851"/>
        <w:rPr>
          <w:rFonts w:asciiTheme="minorHAnsi" w:hAnsiTheme="minorHAnsi"/>
          <w:b/>
          <w:lang w:val="en-GB"/>
        </w:rPr>
      </w:pPr>
      <w:r w:rsidRPr="004D474A">
        <w:rPr>
          <w:rFonts w:asciiTheme="minorHAnsi" w:hAnsiTheme="minorHAnsi"/>
          <w:b/>
          <w:lang w:val="en-GB"/>
        </w:rPr>
        <w:t>CLINICAL PARTICULARS</w:t>
      </w:r>
    </w:p>
    <w:p w14:paraId="6B786A5D" w14:textId="77777777" w:rsidR="00C242DA" w:rsidRPr="004D474A" w:rsidRDefault="00C242DA" w:rsidP="00104756">
      <w:pPr>
        <w:pStyle w:val="Lijstalinea"/>
        <w:ind w:left="567"/>
        <w:rPr>
          <w:rFonts w:asciiTheme="minorHAnsi" w:hAnsiTheme="minorHAnsi"/>
          <w:b/>
          <w:lang w:val="en-GB"/>
        </w:rPr>
      </w:pPr>
    </w:p>
    <w:p w14:paraId="05956BC6" w14:textId="77777777" w:rsidR="00AE30FE" w:rsidRPr="004D474A" w:rsidRDefault="00AE30FE"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Therapeutic indications</w:t>
      </w:r>
    </w:p>
    <w:p w14:paraId="50543351" w14:textId="77777777" w:rsidR="00FF00BD" w:rsidRPr="004D474A" w:rsidRDefault="00FF00BD" w:rsidP="00104756">
      <w:pPr>
        <w:pStyle w:val="Lijstalinea"/>
        <w:ind w:left="567"/>
        <w:rPr>
          <w:rFonts w:asciiTheme="minorHAnsi" w:hAnsiTheme="minorHAnsi"/>
          <w:b/>
          <w:lang w:val="en-GB"/>
        </w:rPr>
      </w:pPr>
    </w:p>
    <w:p w14:paraId="49418098" w14:textId="77777777" w:rsidR="00FF00BD" w:rsidRPr="004D474A" w:rsidRDefault="00FF00BD" w:rsidP="00104756">
      <w:pPr>
        <w:pStyle w:val="Lijstalinea"/>
        <w:ind w:left="567"/>
        <w:rPr>
          <w:rFonts w:asciiTheme="minorHAnsi" w:hAnsiTheme="minorHAnsi"/>
          <w:lang w:val="en-GB"/>
        </w:rPr>
      </w:pPr>
      <w:r w:rsidRPr="004D474A">
        <w:rPr>
          <w:rFonts w:asciiTheme="minorHAnsi" w:hAnsiTheme="minorHAnsi"/>
          <w:lang w:val="en-GB"/>
        </w:rPr>
        <w:t xml:space="preserve">Treatment of type 2 diabetes mellitus, particularly in overweight patients, when dietary management and exercise alone does not result in adequate </w:t>
      </w:r>
      <w:r w:rsidR="004D474A" w:rsidRPr="004D474A">
        <w:rPr>
          <w:rFonts w:asciiTheme="minorHAnsi" w:hAnsiTheme="minorHAnsi"/>
          <w:lang w:val="en-GB"/>
        </w:rPr>
        <w:t>glycaemic</w:t>
      </w:r>
      <w:r w:rsidRPr="004D474A">
        <w:rPr>
          <w:rFonts w:asciiTheme="minorHAnsi" w:hAnsiTheme="minorHAnsi"/>
          <w:lang w:val="en-GB"/>
        </w:rPr>
        <w:t xml:space="preserve"> control.</w:t>
      </w:r>
    </w:p>
    <w:p w14:paraId="70EF1CB6" w14:textId="77777777" w:rsidR="00FF00BD" w:rsidRPr="004D474A" w:rsidRDefault="00FF00BD" w:rsidP="00104756">
      <w:pPr>
        <w:pStyle w:val="Lijstalinea"/>
        <w:numPr>
          <w:ilvl w:val="0"/>
          <w:numId w:val="23"/>
        </w:numPr>
        <w:ind w:left="567"/>
        <w:rPr>
          <w:rFonts w:asciiTheme="minorHAnsi" w:hAnsiTheme="minorHAnsi"/>
          <w:lang w:val="en-GB"/>
        </w:rPr>
      </w:pPr>
      <w:r w:rsidRPr="004D474A">
        <w:rPr>
          <w:rFonts w:asciiTheme="minorHAnsi" w:hAnsiTheme="minorHAnsi"/>
          <w:lang w:val="en-GB"/>
        </w:rPr>
        <w:t xml:space="preserve">In adults, </w:t>
      </w:r>
      <w:proofErr w:type="spellStart"/>
      <w:r w:rsidRPr="004D474A">
        <w:rPr>
          <w:rFonts w:asciiTheme="minorHAnsi" w:hAnsiTheme="minorHAnsi"/>
          <w:lang w:val="en-GB"/>
        </w:rPr>
        <w:t>Glyferon</w:t>
      </w:r>
      <w:proofErr w:type="spellEnd"/>
      <w:r w:rsidRPr="004D474A">
        <w:rPr>
          <w:rFonts w:asciiTheme="minorHAnsi" w:hAnsiTheme="minorHAnsi"/>
          <w:lang w:val="en-GB"/>
        </w:rPr>
        <w:t xml:space="preserve"> may be used as monotherapy or in combination with other oral antidiabetic agents or with insulin.</w:t>
      </w:r>
    </w:p>
    <w:p w14:paraId="202D55A0" w14:textId="77777777" w:rsidR="00FF00BD" w:rsidRPr="004D474A" w:rsidRDefault="00FF00BD" w:rsidP="00104756">
      <w:pPr>
        <w:pStyle w:val="Lijstalinea"/>
        <w:numPr>
          <w:ilvl w:val="0"/>
          <w:numId w:val="23"/>
        </w:numPr>
        <w:ind w:left="567"/>
        <w:rPr>
          <w:rFonts w:asciiTheme="minorHAnsi" w:hAnsiTheme="minorHAnsi"/>
          <w:lang w:val="en-GB"/>
        </w:rPr>
      </w:pPr>
      <w:r w:rsidRPr="004D474A">
        <w:rPr>
          <w:rFonts w:asciiTheme="minorHAnsi" w:hAnsiTheme="minorHAnsi"/>
          <w:lang w:val="en-GB"/>
        </w:rPr>
        <w:t xml:space="preserve">In children from 10 years of age and adolescents, </w:t>
      </w:r>
      <w:proofErr w:type="spellStart"/>
      <w:r w:rsidRPr="004D474A">
        <w:rPr>
          <w:rFonts w:asciiTheme="minorHAnsi" w:hAnsiTheme="minorHAnsi"/>
          <w:lang w:val="en-GB"/>
        </w:rPr>
        <w:t>Glyferon</w:t>
      </w:r>
      <w:proofErr w:type="spellEnd"/>
      <w:r w:rsidRPr="004D474A">
        <w:rPr>
          <w:rFonts w:asciiTheme="minorHAnsi" w:hAnsiTheme="minorHAnsi"/>
          <w:lang w:val="en-GB"/>
        </w:rPr>
        <w:t xml:space="preserve"> may be used as monotherapy or in combination with insulin.</w:t>
      </w:r>
    </w:p>
    <w:p w14:paraId="063A96FF" w14:textId="77777777" w:rsidR="00FF00BD" w:rsidRPr="004D474A" w:rsidRDefault="00FF00BD" w:rsidP="00104756">
      <w:pPr>
        <w:pStyle w:val="Lijstalinea"/>
        <w:ind w:left="567"/>
        <w:rPr>
          <w:rFonts w:asciiTheme="minorHAnsi" w:hAnsiTheme="minorHAnsi"/>
          <w:b/>
          <w:lang w:val="en-GB"/>
        </w:rPr>
      </w:pPr>
      <w:r w:rsidRPr="004D474A">
        <w:rPr>
          <w:rFonts w:asciiTheme="minorHAnsi" w:hAnsiTheme="minorHAnsi"/>
          <w:lang w:val="en-GB"/>
        </w:rPr>
        <w:t>A reduction of diabetic complications has been shown in overweight type 2 diabetic adult patients treated with metformin as first-line therapy after diet failure.</w:t>
      </w:r>
    </w:p>
    <w:p w14:paraId="1ACA898B" w14:textId="77777777" w:rsidR="00AE30FE" w:rsidRPr="004D474A" w:rsidRDefault="00AE30FE"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lastRenderedPageBreak/>
        <w:t>Posology and mode of administration</w:t>
      </w:r>
    </w:p>
    <w:p w14:paraId="670B6B51" w14:textId="77777777" w:rsidR="00C242DA" w:rsidRPr="004D474A" w:rsidRDefault="00C242DA" w:rsidP="00104756">
      <w:pPr>
        <w:pStyle w:val="Lijstalinea"/>
        <w:ind w:left="567"/>
        <w:rPr>
          <w:rFonts w:asciiTheme="minorHAnsi" w:hAnsiTheme="minorHAnsi"/>
          <w:b/>
          <w:lang w:val="en-GB"/>
        </w:rPr>
      </w:pPr>
    </w:p>
    <w:p w14:paraId="3C20E9C1" w14:textId="77777777" w:rsidR="0011316A" w:rsidRPr="004D474A" w:rsidRDefault="0011316A" w:rsidP="00104756">
      <w:pPr>
        <w:pStyle w:val="Lijstalinea"/>
        <w:numPr>
          <w:ilvl w:val="2"/>
          <w:numId w:val="12"/>
        </w:numPr>
        <w:ind w:left="567" w:hanging="851"/>
        <w:rPr>
          <w:rFonts w:asciiTheme="minorHAnsi" w:hAnsiTheme="minorHAnsi"/>
          <w:b/>
          <w:lang w:val="en-GB"/>
        </w:rPr>
      </w:pPr>
      <w:r w:rsidRPr="004D474A">
        <w:rPr>
          <w:rFonts w:asciiTheme="minorHAnsi" w:hAnsiTheme="minorHAnsi"/>
          <w:b/>
          <w:lang w:val="en-GB"/>
        </w:rPr>
        <w:t>Posology</w:t>
      </w:r>
    </w:p>
    <w:p w14:paraId="55B45718" w14:textId="77777777" w:rsidR="0097660E" w:rsidRPr="004D474A" w:rsidRDefault="0097660E" w:rsidP="00104756">
      <w:pPr>
        <w:pStyle w:val="Lijstalinea"/>
        <w:ind w:left="567"/>
        <w:rPr>
          <w:rFonts w:asciiTheme="minorHAnsi" w:hAnsiTheme="minorHAnsi"/>
          <w:b/>
          <w:lang w:val="en-GB"/>
        </w:rPr>
      </w:pPr>
    </w:p>
    <w:p w14:paraId="027E2697" w14:textId="77777777" w:rsidR="0097660E" w:rsidRPr="004D474A" w:rsidRDefault="0097660E" w:rsidP="0097660E">
      <w:pPr>
        <w:pStyle w:val="Lijstalinea"/>
        <w:ind w:left="0"/>
        <w:rPr>
          <w:rFonts w:asciiTheme="minorHAnsi" w:hAnsiTheme="minorHAnsi"/>
          <w:iCs/>
          <w:lang w:val="en-GB"/>
        </w:rPr>
      </w:pPr>
      <w:r w:rsidRPr="004D474A">
        <w:rPr>
          <w:rFonts w:asciiTheme="minorHAnsi" w:hAnsiTheme="minorHAnsi"/>
          <w:b/>
          <w:lang w:val="en-GB"/>
        </w:rPr>
        <w:t>Adults</w:t>
      </w:r>
    </w:p>
    <w:p w14:paraId="3C9B0D6D" w14:textId="77777777" w:rsidR="0097660E" w:rsidRPr="004D474A" w:rsidRDefault="0097660E" w:rsidP="0097660E">
      <w:pPr>
        <w:pStyle w:val="Lijstalinea"/>
        <w:ind w:left="0"/>
        <w:rPr>
          <w:rFonts w:asciiTheme="minorHAnsi" w:hAnsiTheme="minorHAnsi"/>
          <w:b/>
          <w:bCs/>
          <w:lang w:val="en-GB"/>
        </w:rPr>
      </w:pPr>
      <w:r w:rsidRPr="004D474A">
        <w:rPr>
          <w:rFonts w:asciiTheme="minorHAnsi" w:hAnsiTheme="minorHAnsi"/>
          <w:b/>
          <w:bCs/>
          <w:lang w:val="en-GB"/>
        </w:rPr>
        <w:t>Monotherapy and combination with other oral antidiabetic agents</w:t>
      </w:r>
    </w:p>
    <w:p w14:paraId="235EECA3" w14:textId="77777777" w:rsidR="0097660E" w:rsidRPr="004D474A" w:rsidRDefault="0097660E" w:rsidP="00104756">
      <w:pPr>
        <w:pStyle w:val="Lijstalinea"/>
        <w:numPr>
          <w:ilvl w:val="0"/>
          <w:numId w:val="21"/>
        </w:numPr>
        <w:ind w:left="567"/>
        <w:rPr>
          <w:rFonts w:asciiTheme="minorHAnsi" w:hAnsiTheme="minorHAnsi"/>
          <w:lang w:val="en-GB"/>
        </w:rPr>
      </w:pPr>
      <w:r w:rsidRPr="004D474A">
        <w:rPr>
          <w:rFonts w:asciiTheme="minorHAnsi" w:hAnsiTheme="minorHAnsi"/>
          <w:lang w:val="en-GB"/>
        </w:rPr>
        <w:t>The usual starting dose is 500 mg or 850 mg metformin hydrochloride 2 or 3 times daily given during or after meals.</w:t>
      </w:r>
    </w:p>
    <w:p w14:paraId="0BA8F220" w14:textId="77777777" w:rsidR="0097660E" w:rsidRPr="004D474A" w:rsidRDefault="0097660E" w:rsidP="00104756">
      <w:pPr>
        <w:pStyle w:val="Lijstalinea"/>
        <w:numPr>
          <w:ilvl w:val="0"/>
          <w:numId w:val="21"/>
        </w:numPr>
        <w:ind w:left="567"/>
        <w:rPr>
          <w:rFonts w:asciiTheme="minorHAnsi" w:hAnsiTheme="minorHAnsi"/>
          <w:lang w:val="en-GB"/>
        </w:rPr>
      </w:pPr>
      <w:r w:rsidRPr="004D474A">
        <w:rPr>
          <w:rFonts w:asciiTheme="minorHAnsi" w:hAnsiTheme="minorHAnsi"/>
          <w:lang w:val="en-GB"/>
        </w:rPr>
        <w:t>After 10 to 15 days the dose should be adjusted on the basis of blood glucose measurements. A slow increase of dose may improve gastrointestinal tolerability.</w:t>
      </w:r>
    </w:p>
    <w:p w14:paraId="6B5D5EFC" w14:textId="77777777" w:rsidR="0097660E" w:rsidRPr="004D474A" w:rsidRDefault="0097660E" w:rsidP="00104756">
      <w:pPr>
        <w:pStyle w:val="Lijstalinea"/>
        <w:numPr>
          <w:ilvl w:val="0"/>
          <w:numId w:val="21"/>
        </w:numPr>
        <w:ind w:left="567"/>
        <w:rPr>
          <w:rFonts w:asciiTheme="minorHAnsi" w:hAnsiTheme="minorHAnsi"/>
          <w:lang w:val="en-GB"/>
        </w:rPr>
      </w:pPr>
      <w:r w:rsidRPr="004D474A">
        <w:rPr>
          <w:rFonts w:asciiTheme="minorHAnsi" w:hAnsiTheme="minorHAnsi"/>
          <w:lang w:val="en-GB"/>
        </w:rPr>
        <w:t>The maximum recommended dose of metformin hydrochloride is 3 g daily, taken as 3 divided doses.</w:t>
      </w:r>
    </w:p>
    <w:p w14:paraId="7811CD93" w14:textId="77777777" w:rsidR="0097660E" w:rsidRPr="004D474A" w:rsidRDefault="0097660E" w:rsidP="00104756">
      <w:pPr>
        <w:pStyle w:val="Lijstalinea"/>
        <w:numPr>
          <w:ilvl w:val="0"/>
          <w:numId w:val="21"/>
        </w:numPr>
        <w:ind w:left="567"/>
        <w:rPr>
          <w:rFonts w:asciiTheme="minorHAnsi" w:hAnsiTheme="minorHAnsi"/>
          <w:lang w:val="en-GB"/>
        </w:rPr>
      </w:pPr>
      <w:r w:rsidRPr="004D474A">
        <w:rPr>
          <w:rFonts w:asciiTheme="minorHAnsi" w:hAnsiTheme="minorHAnsi"/>
          <w:lang w:val="en-GB"/>
        </w:rPr>
        <w:t>If transfer from another oral antidiabetic agent is intended: discontinue the other agent and initiate metformin at the dose indicated above.</w:t>
      </w:r>
    </w:p>
    <w:p w14:paraId="5E086D1F" w14:textId="77777777" w:rsidR="0097660E" w:rsidRPr="004D474A" w:rsidRDefault="0097660E" w:rsidP="0097660E">
      <w:pPr>
        <w:pStyle w:val="Lijstalinea"/>
        <w:ind w:left="0"/>
        <w:rPr>
          <w:rFonts w:asciiTheme="minorHAnsi" w:hAnsiTheme="minorHAnsi"/>
          <w:bCs/>
          <w:lang w:val="en-GB"/>
        </w:rPr>
      </w:pPr>
    </w:p>
    <w:p w14:paraId="044F2DAF" w14:textId="77777777" w:rsidR="0097660E" w:rsidRPr="004D474A" w:rsidRDefault="0097660E" w:rsidP="0097660E">
      <w:pPr>
        <w:pStyle w:val="Lijstalinea"/>
        <w:ind w:left="0"/>
        <w:rPr>
          <w:rFonts w:asciiTheme="minorHAnsi" w:hAnsiTheme="minorHAnsi"/>
          <w:b/>
          <w:bCs/>
          <w:lang w:val="en-GB"/>
        </w:rPr>
      </w:pPr>
      <w:r w:rsidRPr="004D474A">
        <w:rPr>
          <w:rFonts w:asciiTheme="minorHAnsi" w:hAnsiTheme="minorHAnsi"/>
          <w:b/>
          <w:bCs/>
          <w:lang w:val="en-GB"/>
        </w:rPr>
        <w:t>Combination with insulin</w:t>
      </w:r>
    </w:p>
    <w:p w14:paraId="6C9849DE" w14:textId="77777777" w:rsidR="0097660E" w:rsidRPr="004D474A" w:rsidRDefault="0097660E" w:rsidP="00104756">
      <w:pPr>
        <w:pStyle w:val="Lijstalinea"/>
        <w:ind w:left="567"/>
        <w:rPr>
          <w:rFonts w:asciiTheme="minorHAnsi" w:hAnsiTheme="minorHAnsi"/>
          <w:lang w:val="en-GB"/>
        </w:rPr>
      </w:pPr>
      <w:r w:rsidRPr="004D474A">
        <w:rPr>
          <w:rFonts w:asciiTheme="minorHAnsi" w:hAnsiTheme="minorHAnsi"/>
          <w:lang w:val="en-GB"/>
        </w:rPr>
        <w:t>Metformin and insulin may be used in combination therapy to achieve better blood glucose control. Metformin hydrochloride is given at the usual starting dose of 500 mg or 850 mg 2 or 3 times daily, while insulin dosage is adjusted on the basis of blood glucose measurements.</w:t>
      </w:r>
    </w:p>
    <w:p w14:paraId="2956CBCD" w14:textId="77777777" w:rsidR="0097660E" w:rsidRPr="004D474A" w:rsidRDefault="0097660E" w:rsidP="00104756">
      <w:pPr>
        <w:pStyle w:val="Lijstalinea"/>
        <w:ind w:left="567"/>
        <w:rPr>
          <w:rFonts w:asciiTheme="minorHAnsi" w:hAnsiTheme="minorHAnsi"/>
          <w:bCs/>
          <w:lang w:val="en-GB"/>
        </w:rPr>
      </w:pPr>
    </w:p>
    <w:p w14:paraId="01D53E95" w14:textId="77777777" w:rsidR="0011316A" w:rsidRPr="004D474A" w:rsidRDefault="0011316A" w:rsidP="00104756">
      <w:pPr>
        <w:pStyle w:val="Lijstalinea"/>
        <w:numPr>
          <w:ilvl w:val="2"/>
          <w:numId w:val="12"/>
        </w:numPr>
        <w:ind w:left="567" w:hanging="851"/>
        <w:rPr>
          <w:rFonts w:asciiTheme="minorHAnsi" w:hAnsiTheme="minorHAnsi"/>
          <w:b/>
          <w:lang w:val="en-GB"/>
        </w:rPr>
      </w:pPr>
      <w:r w:rsidRPr="004D474A">
        <w:rPr>
          <w:rFonts w:asciiTheme="minorHAnsi" w:hAnsiTheme="minorHAnsi"/>
          <w:b/>
          <w:lang w:val="en-GB"/>
        </w:rPr>
        <w:t>Special populations</w:t>
      </w:r>
    </w:p>
    <w:p w14:paraId="6CCE9C10" w14:textId="77777777" w:rsidR="00FF00BD" w:rsidRPr="004D474A" w:rsidRDefault="00FF00BD" w:rsidP="00104756">
      <w:pPr>
        <w:pStyle w:val="Lijstalinea"/>
        <w:ind w:left="567"/>
        <w:rPr>
          <w:rFonts w:asciiTheme="minorHAnsi" w:hAnsiTheme="minorHAnsi"/>
          <w:bCs/>
          <w:lang w:val="en-GB"/>
        </w:rPr>
      </w:pPr>
    </w:p>
    <w:p w14:paraId="4D460C06" w14:textId="77777777" w:rsidR="00FF00BD" w:rsidRPr="004D474A" w:rsidRDefault="00FF00BD" w:rsidP="00104756">
      <w:pPr>
        <w:pStyle w:val="Lijstalinea"/>
        <w:ind w:left="567"/>
        <w:rPr>
          <w:rFonts w:asciiTheme="minorHAnsi" w:hAnsiTheme="minorHAnsi"/>
          <w:b/>
          <w:iCs/>
          <w:lang w:val="en-GB"/>
        </w:rPr>
      </w:pPr>
      <w:r w:rsidRPr="004D474A">
        <w:rPr>
          <w:rFonts w:asciiTheme="minorHAnsi" w:hAnsiTheme="minorHAnsi"/>
          <w:b/>
          <w:iCs/>
          <w:lang w:val="en-GB"/>
        </w:rPr>
        <w:t>Elderly</w:t>
      </w:r>
    </w:p>
    <w:p w14:paraId="1348167A" w14:textId="77777777" w:rsidR="00FF00BD" w:rsidRPr="004D474A" w:rsidRDefault="00FF00BD" w:rsidP="00104756">
      <w:pPr>
        <w:pStyle w:val="Lijstalinea"/>
        <w:ind w:left="567"/>
        <w:rPr>
          <w:rFonts w:asciiTheme="minorHAnsi" w:hAnsiTheme="minorHAnsi"/>
          <w:lang w:val="en-GB"/>
        </w:rPr>
      </w:pPr>
      <w:r w:rsidRPr="004D474A">
        <w:rPr>
          <w:rFonts w:asciiTheme="minorHAnsi" w:hAnsiTheme="minorHAnsi"/>
          <w:lang w:val="en-GB"/>
        </w:rPr>
        <w:t>Due to the potential for decreased renal function in elderly subjects, the metformin dosage should be adjusted based on renal function. Regular assessment of renal function is necessary.</w:t>
      </w:r>
    </w:p>
    <w:p w14:paraId="4F93070F" w14:textId="77777777" w:rsidR="00FF00BD" w:rsidRPr="004D474A" w:rsidRDefault="00FF00BD" w:rsidP="00104756">
      <w:pPr>
        <w:pStyle w:val="Lijstalinea"/>
        <w:ind w:left="567"/>
        <w:rPr>
          <w:rFonts w:asciiTheme="minorHAnsi" w:hAnsiTheme="minorHAnsi"/>
          <w:lang w:val="en-GB"/>
        </w:rPr>
      </w:pPr>
    </w:p>
    <w:p w14:paraId="5682A1E4" w14:textId="77777777" w:rsidR="00FF00BD" w:rsidRPr="004D474A" w:rsidRDefault="00FF00BD" w:rsidP="00104756">
      <w:pPr>
        <w:pStyle w:val="Lijstalinea"/>
        <w:ind w:left="567"/>
        <w:rPr>
          <w:rFonts w:asciiTheme="minorHAnsi" w:hAnsiTheme="minorHAnsi"/>
          <w:b/>
          <w:iCs/>
          <w:lang w:val="en-GB"/>
        </w:rPr>
      </w:pPr>
      <w:r w:rsidRPr="004D474A">
        <w:rPr>
          <w:rFonts w:asciiTheme="minorHAnsi" w:hAnsiTheme="minorHAnsi"/>
          <w:b/>
          <w:iCs/>
          <w:lang w:val="en-GB"/>
        </w:rPr>
        <w:t>Patients with renal impairment</w:t>
      </w:r>
    </w:p>
    <w:p w14:paraId="6C8980B1" w14:textId="77777777" w:rsidR="00FF00BD" w:rsidRPr="004D474A" w:rsidRDefault="00FF00BD" w:rsidP="00104756">
      <w:pPr>
        <w:pStyle w:val="Lijstalinea"/>
        <w:ind w:left="567"/>
        <w:rPr>
          <w:rFonts w:asciiTheme="minorHAnsi" w:hAnsiTheme="minorHAnsi"/>
          <w:lang w:val="en-GB"/>
        </w:rPr>
      </w:pPr>
      <w:r w:rsidRPr="004D474A">
        <w:rPr>
          <w:rFonts w:asciiTheme="minorHAnsi" w:hAnsiTheme="minorHAnsi"/>
          <w:lang w:val="en-GB"/>
        </w:rPr>
        <w:t>Metformin may be used in patients with moderate renal impairment (creatinine clearance [</w:t>
      </w:r>
      <w:proofErr w:type="spellStart"/>
      <w:r w:rsidRPr="004D474A">
        <w:rPr>
          <w:rFonts w:asciiTheme="minorHAnsi" w:hAnsiTheme="minorHAnsi"/>
          <w:lang w:val="en-GB"/>
        </w:rPr>
        <w:t>CrCl</w:t>
      </w:r>
      <w:proofErr w:type="spellEnd"/>
      <w:r w:rsidRPr="004D474A">
        <w:rPr>
          <w:rFonts w:asciiTheme="minorHAnsi" w:hAnsiTheme="minorHAnsi"/>
          <w:lang w:val="en-GB"/>
        </w:rPr>
        <w:t>] 45– 59 ml/min or estimated glomerular filtration rate [eGFR] 45 -59 ml/min/1.73m</w:t>
      </w:r>
      <w:r w:rsidRPr="004D474A">
        <w:rPr>
          <w:rFonts w:asciiTheme="minorHAnsi" w:hAnsiTheme="minorHAnsi"/>
          <w:vertAlign w:val="superscript"/>
          <w:lang w:val="en-GB"/>
        </w:rPr>
        <w:t>2</w:t>
      </w:r>
      <w:r w:rsidRPr="004D474A">
        <w:rPr>
          <w:rFonts w:asciiTheme="minorHAnsi" w:hAnsiTheme="minorHAnsi"/>
          <w:lang w:val="en-GB"/>
        </w:rPr>
        <w:t>) only in the absence of other conditions that may increase the risk of lactic acidosis and with the following dose adjustments:</w:t>
      </w:r>
    </w:p>
    <w:p w14:paraId="721AF079"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The starting dose is 500 mg or 850 mg metformin hydrochloride, once daily. The maximum dose is 1000 mg daily, given as 2 divided doses. The renal function should be closely monitored (every 3-6 months).</w:t>
      </w:r>
    </w:p>
    <w:p w14:paraId="0E883AA3"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 xml:space="preserve">If </w:t>
      </w:r>
      <w:proofErr w:type="spellStart"/>
      <w:r w:rsidRPr="004D474A">
        <w:rPr>
          <w:rFonts w:asciiTheme="minorHAnsi" w:hAnsiTheme="minorHAnsi"/>
          <w:lang w:val="en-GB"/>
        </w:rPr>
        <w:t>CrCl</w:t>
      </w:r>
      <w:proofErr w:type="spellEnd"/>
      <w:r w:rsidRPr="004D474A">
        <w:rPr>
          <w:rFonts w:asciiTheme="minorHAnsi" w:hAnsiTheme="minorHAnsi"/>
          <w:lang w:val="en-GB"/>
        </w:rPr>
        <w:t xml:space="preserve"> or eGFR fall &lt;45 ml/min or &lt;45 ml/min/1.73m2 respectively, metformin must be discontinued immediately</w:t>
      </w:r>
    </w:p>
    <w:p w14:paraId="3AC15245" w14:textId="77777777" w:rsidR="0011316A" w:rsidRPr="004D474A" w:rsidRDefault="004D474A" w:rsidP="00104756">
      <w:pPr>
        <w:pStyle w:val="Lijstalinea"/>
        <w:numPr>
          <w:ilvl w:val="2"/>
          <w:numId w:val="12"/>
        </w:numPr>
        <w:ind w:left="567" w:hanging="851"/>
        <w:rPr>
          <w:rFonts w:asciiTheme="minorHAnsi" w:hAnsiTheme="minorHAnsi"/>
          <w:b/>
          <w:lang w:val="en-GB"/>
        </w:rPr>
      </w:pPr>
      <w:r w:rsidRPr="004D474A">
        <w:rPr>
          <w:rFonts w:asciiTheme="minorHAnsi" w:hAnsiTheme="minorHAnsi"/>
          <w:b/>
          <w:lang w:val="en-GB"/>
        </w:rPr>
        <w:t>Paediatric</w:t>
      </w:r>
      <w:r w:rsidR="0011316A" w:rsidRPr="004D474A">
        <w:rPr>
          <w:rFonts w:asciiTheme="minorHAnsi" w:hAnsiTheme="minorHAnsi"/>
          <w:b/>
          <w:lang w:val="en-GB"/>
        </w:rPr>
        <w:t xml:space="preserve"> population</w:t>
      </w:r>
    </w:p>
    <w:p w14:paraId="257DE8A0" w14:textId="77777777" w:rsidR="00FF00BD" w:rsidRPr="004D474A" w:rsidRDefault="00FF00BD" w:rsidP="00FF00BD">
      <w:pPr>
        <w:pStyle w:val="Lijstalinea"/>
        <w:ind w:left="0"/>
        <w:rPr>
          <w:rFonts w:asciiTheme="minorHAnsi" w:hAnsiTheme="minorHAnsi"/>
          <w:bCs/>
          <w:lang w:val="en-GB"/>
        </w:rPr>
      </w:pPr>
    </w:p>
    <w:p w14:paraId="6A520782" w14:textId="77777777" w:rsidR="00FF00BD" w:rsidRPr="004D474A" w:rsidRDefault="00FF00BD" w:rsidP="00104756">
      <w:pPr>
        <w:pStyle w:val="Lijstalinea"/>
        <w:ind w:left="567"/>
        <w:rPr>
          <w:rFonts w:asciiTheme="minorHAnsi" w:hAnsiTheme="minorHAnsi"/>
          <w:bCs/>
          <w:lang w:val="en-GB"/>
        </w:rPr>
      </w:pPr>
      <w:r w:rsidRPr="004D474A">
        <w:rPr>
          <w:rFonts w:asciiTheme="minorHAnsi" w:hAnsiTheme="minorHAnsi"/>
          <w:bCs/>
          <w:lang w:val="en-GB"/>
        </w:rPr>
        <w:t>Monotherapy and combination with insulin</w:t>
      </w:r>
    </w:p>
    <w:p w14:paraId="67F6E7B5" w14:textId="77777777" w:rsidR="00FF00BD" w:rsidRPr="004D474A" w:rsidRDefault="00FF00BD" w:rsidP="00104756">
      <w:pPr>
        <w:pStyle w:val="Lijstalinea"/>
        <w:numPr>
          <w:ilvl w:val="0"/>
          <w:numId w:val="24"/>
        </w:numPr>
        <w:ind w:left="567"/>
        <w:rPr>
          <w:rFonts w:asciiTheme="minorHAnsi" w:hAnsiTheme="minorHAnsi"/>
          <w:lang w:val="en-GB"/>
        </w:rPr>
      </w:pPr>
      <w:proofErr w:type="spellStart"/>
      <w:r w:rsidRPr="004D474A">
        <w:rPr>
          <w:rFonts w:asciiTheme="minorHAnsi" w:hAnsiTheme="minorHAnsi"/>
          <w:lang w:val="en-GB"/>
        </w:rPr>
        <w:t>Glyferon</w:t>
      </w:r>
      <w:proofErr w:type="spellEnd"/>
      <w:r w:rsidRPr="004D474A">
        <w:rPr>
          <w:rFonts w:asciiTheme="minorHAnsi" w:hAnsiTheme="minorHAnsi"/>
          <w:lang w:val="en-GB"/>
        </w:rPr>
        <w:t xml:space="preserve"> can be used in children from 10 years of age and adolescents.</w:t>
      </w:r>
    </w:p>
    <w:p w14:paraId="0623F0A9"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The usual starting dose is 500 mg or 850 mg metformin hydrochloride once daily, given during or after meals. After 10 to 15 days the dose should be adjusted on the basis of blood glucose measurements. A slow increase of dose may improve gastrointestinal tolerability.</w:t>
      </w:r>
    </w:p>
    <w:p w14:paraId="2BD43812"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The maximum recommended dose of metformin hydrochloride is 2 g daily, taken as 2 or 3 divided doses.</w:t>
      </w:r>
    </w:p>
    <w:p w14:paraId="0777D89E" w14:textId="77777777" w:rsidR="0011316A" w:rsidRPr="004D474A" w:rsidRDefault="0011316A" w:rsidP="00104756">
      <w:pPr>
        <w:pStyle w:val="Lijstalinea"/>
        <w:ind w:left="567"/>
        <w:rPr>
          <w:rFonts w:asciiTheme="minorHAnsi" w:hAnsiTheme="minorHAnsi"/>
          <w:lang w:val="en-GB"/>
        </w:rPr>
      </w:pPr>
    </w:p>
    <w:p w14:paraId="1BBDE338" w14:textId="77777777" w:rsidR="0011316A" w:rsidRPr="004D474A" w:rsidRDefault="0011316A" w:rsidP="00104756">
      <w:pPr>
        <w:pStyle w:val="Lijstalinea"/>
        <w:numPr>
          <w:ilvl w:val="2"/>
          <w:numId w:val="12"/>
        </w:numPr>
        <w:ind w:left="567" w:hanging="851"/>
        <w:rPr>
          <w:rFonts w:asciiTheme="minorHAnsi" w:hAnsiTheme="minorHAnsi"/>
          <w:b/>
          <w:lang w:val="en-GB"/>
        </w:rPr>
      </w:pPr>
      <w:r w:rsidRPr="004D474A">
        <w:rPr>
          <w:rFonts w:asciiTheme="minorHAnsi" w:hAnsiTheme="minorHAnsi"/>
          <w:b/>
          <w:lang w:val="en-GB"/>
        </w:rPr>
        <w:t xml:space="preserve">Method of </w:t>
      </w:r>
      <w:r w:rsidR="00B17706" w:rsidRPr="004D474A">
        <w:rPr>
          <w:rFonts w:asciiTheme="minorHAnsi" w:hAnsiTheme="minorHAnsi"/>
          <w:b/>
          <w:lang w:val="en-GB"/>
        </w:rPr>
        <w:t>administration</w:t>
      </w:r>
    </w:p>
    <w:sdt>
      <w:sdtPr>
        <w:rPr>
          <w:rFonts w:asciiTheme="minorHAnsi" w:hAnsiTheme="minorHAnsi"/>
          <w:b/>
          <w:lang w:val="en-GB"/>
        </w:rPr>
        <w:id w:val="-1518921705"/>
        <w:placeholder>
          <w:docPart w:val="241493DFA82C453F95CC97DB76FF6DDD"/>
        </w:placeholder>
      </w:sdtPr>
      <w:sdtEndPr>
        <w:rPr>
          <w:b w:val="0"/>
        </w:rPr>
      </w:sdtEndPr>
      <w:sdtContent>
        <w:p w14:paraId="5EC28933" w14:textId="77777777" w:rsidR="0011316A" w:rsidRPr="004D474A" w:rsidRDefault="00BB6022" w:rsidP="003D6994">
          <w:pPr>
            <w:pStyle w:val="Lijstalinea"/>
            <w:ind w:left="567"/>
            <w:rPr>
              <w:rFonts w:asciiTheme="minorHAnsi" w:hAnsiTheme="minorHAnsi"/>
              <w:lang w:val="en-GB"/>
            </w:rPr>
          </w:pPr>
          <w:r w:rsidRPr="004D474A">
            <w:rPr>
              <w:rFonts w:asciiTheme="minorHAnsi" w:hAnsiTheme="minorHAnsi"/>
              <w:lang w:val="en-GB"/>
            </w:rPr>
            <w:t>Oral route</w:t>
          </w:r>
        </w:p>
      </w:sdtContent>
    </w:sdt>
    <w:p w14:paraId="681649A9" w14:textId="77777777" w:rsidR="0011316A" w:rsidRPr="004D474A" w:rsidRDefault="0011316A" w:rsidP="003D6994">
      <w:pPr>
        <w:pStyle w:val="Lijstalinea"/>
        <w:ind w:left="567"/>
        <w:rPr>
          <w:rFonts w:asciiTheme="minorHAnsi" w:hAnsiTheme="minorHAnsi"/>
          <w:b/>
          <w:lang w:val="en-GB"/>
        </w:rPr>
      </w:pPr>
    </w:p>
    <w:p w14:paraId="3A14B3F5" w14:textId="77777777" w:rsidR="00AE30FE" w:rsidRPr="004D474A" w:rsidRDefault="00AE30FE" w:rsidP="00FF00BD">
      <w:pPr>
        <w:pStyle w:val="Lijstalinea"/>
        <w:numPr>
          <w:ilvl w:val="1"/>
          <w:numId w:val="12"/>
        </w:numPr>
        <w:ind w:left="567" w:hanging="573"/>
        <w:rPr>
          <w:rFonts w:asciiTheme="minorHAnsi" w:hAnsiTheme="minorHAnsi"/>
          <w:b/>
          <w:lang w:val="en-GB"/>
        </w:rPr>
      </w:pPr>
      <w:r w:rsidRPr="004D474A">
        <w:rPr>
          <w:rFonts w:asciiTheme="minorHAnsi" w:hAnsiTheme="minorHAnsi"/>
          <w:b/>
          <w:lang w:val="en-GB"/>
        </w:rPr>
        <w:t>Contraindications</w:t>
      </w:r>
    </w:p>
    <w:p w14:paraId="4748967E" w14:textId="77777777" w:rsidR="00FF00BD" w:rsidRPr="004D474A" w:rsidRDefault="00FF00BD" w:rsidP="00104756">
      <w:pPr>
        <w:pStyle w:val="Lijstalinea"/>
        <w:ind w:left="567"/>
        <w:rPr>
          <w:rFonts w:asciiTheme="minorHAnsi" w:hAnsiTheme="minorHAnsi"/>
          <w:b/>
          <w:lang w:val="en-GB"/>
        </w:rPr>
      </w:pPr>
    </w:p>
    <w:p w14:paraId="46C24D78"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Hypersensitivity to metformin or to any of the excipients listed in section 6.1.</w:t>
      </w:r>
    </w:p>
    <w:p w14:paraId="2722CB70"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 xml:space="preserve">All types of metabolic </w:t>
      </w:r>
      <w:r w:rsidR="004D474A" w:rsidRPr="004D474A">
        <w:rPr>
          <w:rFonts w:asciiTheme="minorHAnsi" w:hAnsiTheme="minorHAnsi"/>
          <w:lang w:val="en-GB"/>
        </w:rPr>
        <w:t>acidosis</w:t>
      </w:r>
      <w:r w:rsidRPr="004D474A">
        <w:rPr>
          <w:rFonts w:asciiTheme="minorHAnsi" w:hAnsiTheme="minorHAnsi"/>
          <w:lang w:val="en-GB"/>
        </w:rPr>
        <w:t>, like lactic acidosis and diabetic ketoacidosis.</w:t>
      </w:r>
    </w:p>
    <w:p w14:paraId="7CE34F2A"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Diabetic pre-coma.</w:t>
      </w:r>
    </w:p>
    <w:p w14:paraId="37610967"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Severe renal failure (GFR &lt; 30 ml/min).</w:t>
      </w:r>
    </w:p>
    <w:p w14:paraId="20B273BC"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Acute conditions with the potential to alter renal function such as: dehydration, severe infection, shock.</w:t>
      </w:r>
    </w:p>
    <w:p w14:paraId="790EB96D"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Disease which may cause tissue hypoxia (especially acute disease, or worsening of chronic disease) such as decompensated heart failure, respiratory failure, recent myocardial infarction, shock.</w:t>
      </w:r>
    </w:p>
    <w:p w14:paraId="44EC8B66"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Hepatic insufficiency, acute alcohol intoxication, alcoholism.</w:t>
      </w:r>
    </w:p>
    <w:p w14:paraId="41ACAB2F" w14:textId="77777777" w:rsidR="00FF00BD" w:rsidRPr="004D474A" w:rsidRDefault="00FF00BD" w:rsidP="00104756">
      <w:pPr>
        <w:pStyle w:val="Lijstalinea"/>
        <w:ind w:left="567"/>
        <w:rPr>
          <w:rFonts w:asciiTheme="minorHAnsi" w:hAnsiTheme="minorHAnsi"/>
          <w:b/>
          <w:u w:val="single"/>
          <w:lang w:val="en-GB"/>
        </w:rPr>
      </w:pPr>
    </w:p>
    <w:p w14:paraId="18300FD4" w14:textId="77777777" w:rsidR="00AE30FE" w:rsidRPr="004D474A" w:rsidRDefault="00AE30FE"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Special warning and precautions for use</w:t>
      </w:r>
    </w:p>
    <w:p w14:paraId="06DC051F" w14:textId="77777777" w:rsidR="00814C2E" w:rsidRPr="004D474A" w:rsidRDefault="00814C2E" w:rsidP="00104756">
      <w:pPr>
        <w:pStyle w:val="Lijstalinea"/>
        <w:ind w:left="567"/>
        <w:rPr>
          <w:rFonts w:asciiTheme="minorHAnsi" w:hAnsiTheme="minorHAnsi"/>
          <w:b/>
          <w:lang w:val="en-GB"/>
        </w:rPr>
      </w:pPr>
    </w:p>
    <w:p w14:paraId="41BD2637" w14:textId="77777777" w:rsidR="007970DD" w:rsidRPr="004D474A" w:rsidRDefault="007970DD" w:rsidP="00104756">
      <w:pPr>
        <w:pStyle w:val="Lijstalinea"/>
        <w:numPr>
          <w:ilvl w:val="2"/>
          <w:numId w:val="12"/>
        </w:numPr>
        <w:ind w:left="567" w:hanging="851"/>
        <w:rPr>
          <w:rFonts w:asciiTheme="minorHAnsi" w:hAnsiTheme="minorHAnsi"/>
          <w:b/>
          <w:lang w:val="en-GB"/>
        </w:rPr>
      </w:pPr>
      <w:r w:rsidRPr="004D474A">
        <w:rPr>
          <w:rFonts w:asciiTheme="minorHAnsi" w:hAnsiTheme="minorHAnsi"/>
          <w:b/>
          <w:lang w:val="en-GB"/>
        </w:rPr>
        <w:t>General information</w:t>
      </w:r>
    </w:p>
    <w:p w14:paraId="106FEF6A" w14:textId="77777777" w:rsidR="00FF00BD" w:rsidRPr="004D474A" w:rsidRDefault="00FF00BD" w:rsidP="00104756">
      <w:pPr>
        <w:pStyle w:val="Lijstalinea"/>
        <w:ind w:left="567"/>
        <w:rPr>
          <w:rFonts w:asciiTheme="minorHAnsi" w:hAnsiTheme="minorHAnsi"/>
          <w:b/>
          <w:lang w:val="en-GB"/>
        </w:rPr>
      </w:pPr>
    </w:p>
    <w:p w14:paraId="31406A69" w14:textId="77777777" w:rsidR="00FF00BD" w:rsidRPr="004D474A" w:rsidRDefault="00FF00BD" w:rsidP="00104756">
      <w:pPr>
        <w:pStyle w:val="Lijstalinea"/>
        <w:ind w:left="567"/>
        <w:rPr>
          <w:rFonts w:asciiTheme="minorHAnsi" w:hAnsiTheme="minorHAnsi"/>
          <w:b/>
          <w:lang w:val="en-GB"/>
        </w:rPr>
      </w:pPr>
      <w:r w:rsidRPr="004D474A">
        <w:rPr>
          <w:rFonts w:asciiTheme="minorHAnsi" w:hAnsiTheme="minorHAnsi"/>
          <w:b/>
          <w:lang w:val="en-GB"/>
        </w:rPr>
        <w:t>Lactic acidosis</w:t>
      </w:r>
    </w:p>
    <w:p w14:paraId="0F3EFAC4"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 xml:space="preserve">Lactic acidosis is a very rare, but serious (high mortality rate in the absence of prompt treatment), metabolic complication that can occur due to metformin accumulation. Reported cases of lactic acidosis in patients on metformin have occurred primarily in diabetic patients with impaired renal function or acute worsening of renal function, a cardio-respiratory dysfunction or a </w:t>
      </w:r>
      <w:r w:rsidR="004D474A" w:rsidRPr="004D474A">
        <w:rPr>
          <w:rFonts w:asciiTheme="minorHAnsi" w:hAnsiTheme="minorHAnsi"/>
          <w:lang w:val="en-GB"/>
        </w:rPr>
        <w:t>septicaemia</w:t>
      </w:r>
      <w:r w:rsidRPr="004D474A">
        <w:rPr>
          <w:rFonts w:asciiTheme="minorHAnsi" w:hAnsiTheme="minorHAnsi"/>
          <w:lang w:val="en-GB"/>
        </w:rPr>
        <w:t xml:space="preserve">. </w:t>
      </w:r>
    </w:p>
    <w:p w14:paraId="7E26E2A7"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Special caution should be paid to situations where renal function may become impaired, for example in case of dehydration (severe diarrhoea or vomiting), or when initiating antihypertensive therapy or diuretic therapy and when starting therapy with a non-steroidal anti-inflammatory drug (NSAID). In the acute conditions listed, metformin should be temporarily discontinued.</w:t>
      </w:r>
    </w:p>
    <w:p w14:paraId="34D21C60" w14:textId="0139819C"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 xml:space="preserve">Other risk factors for lactic acidosis include excessive alcohol consumption, liver failure, poorly controlled diabetes, ketosis, prolonged fasting and all conditions associated with hypoxia, as well as concomitant medications that may cause lactic acidosis. Patients and / or their caregivers should be informed about the risk of lactic acidosis. Lactic acidosis is characterized by acidosis </w:t>
      </w:r>
      <w:r w:rsidR="004D474A" w:rsidRPr="004D474A">
        <w:rPr>
          <w:rFonts w:asciiTheme="minorHAnsi" w:hAnsiTheme="minorHAnsi"/>
          <w:lang w:val="en-GB"/>
        </w:rPr>
        <w:t>dyspnoea</w:t>
      </w:r>
      <w:r w:rsidRPr="004D474A">
        <w:rPr>
          <w:rFonts w:asciiTheme="minorHAnsi" w:hAnsiTheme="minorHAnsi"/>
          <w:lang w:val="en-GB"/>
        </w:rPr>
        <w:t>, abdominal pain, muscle cramps, asthenia and hypothermia followed by coma. In case of suggestive symptoms, the patient should stop taking metformin and immediately consult a doctor.</w:t>
      </w:r>
    </w:p>
    <w:p w14:paraId="7B976484" w14:textId="77777777" w:rsidR="00FF00BD" w:rsidRPr="004D474A" w:rsidRDefault="00FF00BD" w:rsidP="00104756">
      <w:pPr>
        <w:pStyle w:val="Lijstalinea"/>
        <w:numPr>
          <w:ilvl w:val="0"/>
          <w:numId w:val="24"/>
        </w:numPr>
        <w:ind w:left="567"/>
        <w:rPr>
          <w:rFonts w:asciiTheme="minorHAnsi" w:hAnsiTheme="minorHAnsi"/>
          <w:lang w:val="en-GB"/>
        </w:rPr>
      </w:pPr>
      <w:r w:rsidRPr="004D474A">
        <w:rPr>
          <w:rFonts w:asciiTheme="minorHAnsi" w:hAnsiTheme="minorHAnsi"/>
          <w:lang w:val="en-GB"/>
        </w:rPr>
        <w:t>Diagnostic laboratory findings are decreased blood pH (&lt; 7.35), increased plasma lactate levels (&gt;5 mmol/</w:t>
      </w:r>
      <w:r w:rsidR="004D474A">
        <w:rPr>
          <w:rFonts w:asciiTheme="minorHAnsi" w:hAnsiTheme="minorHAnsi"/>
          <w:lang w:val="en-GB"/>
        </w:rPr>
        <w:t>l</w:t>
      </w:r>
      <w:r w:rsidRPr="004D474A">
        <w:rPr>
          <w:rFonts w:asciiTheme="minorHAnsi" w:hAnsiTheme="minorHAnsi"/>
          <w:lang w:val="en-GB"/>
        </w:rPr>
        <w:t>) and an increased anion gap and lactate/pyruvate ratio.</w:t>
      </w:r>
    </w:p>
    <w:p w14:paraId="6CD94E8D" w14:textId="77777777" w:rsidR="00164ADA" w:rsidRDefault="00164ADA" w:rsidP="004D474A">
      <w:pPr>
        <w:pStyle w:val="Lijstalinea"/>
        <w:ind w:left="567"/>
        <w:rPr>
          <w:rFonts w:asciiTheme="minorHAnsi" w:hAnsiTheme="minorHAnsi"/>
          <w:b/>
          <w:lang w:val="en-GB"/>
        </w:rPr>
      </w:pPr>
    </w:p>
    <w:p w14:paraId="3C26B5D5" w14:textId="5389E9C0" w:rsidR="00FF00BD" w:rsidRPr="004D474A" w:rsidRDefault="00FF00BD" w:rsidP="004D474A">
      <w:pPr>
        <w:pStyle w:val="Lijstalinea"/>
        <w:ind w:left="567"/>
        <w:rPr>
          <w:rFonts w:asciiTheme="minorHAnsi" w:hAnsiTheme="minorHAnsi"/>
          <w:b/>
          <w:lang w:val="en-GB"/>
        </w:rPr>
      </w:pPr>
      <w:r w:rsidRPr="004D474A">
        <w:rPr>
          <w:rFonts w:asciiTheme="minorHAnsi" w:hAnsiTheme="minorHAnsi"/>
          <w:b/>
          <w:lang w:val="en-GB"/>
        </w:rPr>
        <w:t>Renal function</w:t>
      </w:r>
    </w:p>
    <w:p w14:paraId="341A73A3" w14:textId="77777777" w:rsidR="00FF00BD" w:rsidRPr="004D474A" w:rsidRDefault="00FF00BD" w:rsidP="004D474A">
      <w:pPr>
        <w:pStyle w:val="Lijstalinea"/>
        <w:ind w:left="567"/>
        <w:rPr>
          <w:rFonts w:asciiTheme="minorHAnsi" w:hAnsiTheme="minorHAnsi"/>
          <w:lang w:val="en-GB"/>
        </w:rPr>
      </w:pPr>
      <w:r w:rsidRPr="004D474A">
        <w:rPr>
          <w:rFonts w:asciiTheme="minorHAnsi" w:hAnsiTheme="minorHAnsi"/>
          <w:lang w:val="en-GB"/>
        </w:rPr>
        <w:t>GFR should be assessed before treatment initiation and regularly thereafter, see section 4.2. Metformin is contraindicated in patients with GFR&lt;30 mL/min and should be temporarily discontinued in the presence of conditions that alter renal function.</w:t>
      </w:r>
    </w:p>
    <w:p w14:paraId="75D30416" w14:textId="77777777" w:rsidR="00FF00BD" w:rsidRPr="004D474A" w:rsidRDefault="00FF00BD" w:rsidP="004D474A">
      <w:pPr>
        <w:pStyle w:val="Lijstalinea"/>
        <w:ind w:left="567"/>
        <w:rPr>
          <w:rFonts w:asciiTheme="minorHAnsi" w:hAnsiTheme="minorHAnsi"/>
          <w:b/>
          <w:lang w:val="en-GB"/>
        </w:rPr>
      </w:pPr>
      <w:r w:rsidRPr="004D474A">
        <w:rPr>
          <w:rFonts w:asciiTheme="minorHAnsi" w:hAnsiTheme="minorHAnsi"/>
          <w:b/>
          <w:lang w:val="en-GB"/>
        </w:rPr>
        <w:t xml:space="preserve"> </w:t>
      </w:r>
    </w:p>
    <w:p w14:paraId="3B50B1F5" w14:textId="77777777" w:rsidR="00FF00BD" w:rsidRPr="004D474A" w:rsidRDefault="00FF00BD" w:rsidP="004D474A">
      <w:pPr>
        <w:pStyle w:val="Lijstalinea"/>
        <w:ind w:left="567"/>
        <w:rPr>
          <w:rFonts w:asciiTheme="minorHAnsi" w:hAnsiTheme="minorHAnsi"/>
          <w:b/>
          <w:lang w:val="en-GB"/>
        </w:rPr>
      </w:pPr>
      <w:r w:rsidRPr="004D474A">
        <w:rPr>
          <w:rFonts w:asciiTheme="minorHAnsi" w:hAnsiTheme="minorHAnsi"/>
          <w:b/>
          <w:lang w:val="en-GB"/>
        </w:rPr>
        <w:t>Cardiac function</w:t>
      </w:r>
    </w:p>
    <w:p w14:paraId="21C7E87C" w14:textId="77777777" w:rsidR="00FF00BD" w:rsidRPr="004D474A" w:rsidRDefault="00FF00BD" w:rsidP="004D474A">
      <w:pPr>
        <w:pStyle w:val="Lijstalinea"/>
        <w:ind w:left="567"/>
        <w:rPr>
          <w:rFonts w:asciiTheme="minorHAnsi" w:hAnsiTheme="minorHAnsi"/>
          <w:lang w:val="en-GB"/>
        </w:rPr>
      </w:pPr>
      <w:r w:rsidRPr="004D474A">
        <w:rPr>
          <w:rFonts w:asciiTheme="minorHAnsi" w:hAnsiTheme="minorHAnsi"/>
          <w:lang w:val="en-GB"/>
        </w:rPr>
        <w:t>Patients with heart failure are more at risk of hypoxia and renal insufficiency. In patients with stable chronic heart failure, metformin may be used with a regular monitoring of cardiac and renal function. For patients with acute and unstable heart failure, metformin is contraindicated.</w:t>
      </w:r>
    </w:p>
    <w:p w14:paraId="0D2EA6C8" w14:textId="77777777" w:rsidR="00FF00BD" w:rsidRPr="004D474A" w:rsidRDefault="00FF00BD" w:rsidP="004D474A">
      <w:pPr>
        <w:pStyle w:val="Lijstalinea"/>
        <w:ind w:left="567"/>
        <w:rPr>
          <w:rFonts w:asciiTheme="minorHAnsi" w:hAnsiTheme="minorHAnsi"/>
          <w:lang w:val="en-GB"/>
        </w:rPr>
      </w:pPr>
    </w:p>
    <w:p w14:paraId="51C0EFF1" w14:textId="77777777" w:rsidR="00FF00BD" w:rsidRPr="004D474A" w:rsidRDefault="00FF00BD" w:rsidP="004D474A">
      <w:pPr>
        <w:pStyle w:val="Lijstalinea"/>
        <w:ind w:left="567"/>
        <w:rPr>
          <w:rFonts w:asciiTheme="minorHAnsi" w:hAnsiTheme="minorHAnsi"/>
          <w:b/>
          <w:lang w:val="en-GB"/>
        </w:rPr>
      </w:pPr>
      <w:r w:rsidRPr="004D474A">
        <w:rPr>
          <w:rFonts w:asciiTheme="minorHAnsi" w:hAnsiTheme="minorHAnsi"/>
          <w:b/>
          <w:lang w:val="en-GB"/>
        </w:rPr>
        <w:t>Administration of iodinated contrast media</w:t>
      </w:r>
    </w:p>
    <w:p w14:paraId="71C1CD9C" w14:textId="77777777" w:rsidR="00FF00BD" w:rsidRPr="004D474A" w:rsidRDefault="00FF00BD" w:rsidP="004D474A">
      <w:pPr>
        <w:pStyle w:val="Lijstalinea"/>
        <w:ind w:left="567"/>
        <w:rPr>
          <w:rFonts w:asciiTheme="minorHAnsi" w:hAnsiTheme="minorHAnsi"/>
          <w:lang w:val="en-GB"/>
        </w:rPr>
      </w:pPr>
      <w:r w:rsidRPr="004D474A">
        <w:rPr>
          <w:rFonts w:asciiTheme="minorHAnsi" w:hAnsiTheme="minorHAnsi"/>
          <w:lang w:val="en-GB"/>
        </w:rPr>
        <w:t>Intravascular administration of iodinated contrast agents may lead to contrast induced nephropathy, resulting in metformin accumulation and an increased risk of lactic acidosis. Metformin should be discontinued prior to or at the time of the imaging procedure and not restarted until at least 48 hours after, provided that renal function has been re-evaluated and found to be stable.</w:t>
      </w:r>
    </w:p>
    <w:p w14:paraId="32F9CA71" w14:textId="77777777" w:rsidR="00FF00BD" w:rsidRPr="004D474A" w:rsidRDefault="00FF00BD" w:rsidP="004D474A">
      <w:pPr>
        <w:pStyle w:val="Lijstalinea"/>
        <w:ind w:left="567"/>
        <w:rPr>
          <w:rFonts w:asciiTheme="minorHAnsi" w:hAnsiTheme="minorHAnsi"/>
          <w:lang w:val="en-GB"/>
        </w:rPr>
      </w:pPr>
    </w:p>
    <w:p w14:paraId="33D812C4" w14:textId="77777777" w:rsidR="00FF00BD" w:rsidRPr="004D474A" w:rsidRDefault="00FF00BD" w:rsidP="004D474A">
      <w:pPr>
        <w:pStyle w:val="Lijstalinea"/>
        <w:ind w:left="567"/>
        <w:rPr>
          <w:rFonts w:asciiTheme="minorHAnsi" w:hAnsiTheme="minorHAnsi"/>
          <w:b/>
          <w:lang w:val="en-GB"/>
        </w:rPr>
      </w:pPr>
      <w:r w:rsidRPr="004D474A">
        <w:rPr>
          <w:rFonts w:asciiTheme="minorHAnsi" w:hAnsiTheme="minorHAnsi"/>
          <w:b/>
          <w:lang w:val="en-GB"/>
        </w:rPr>
        <w:t>Surgery</w:t>
      </w:r>
    </w:p>
    <w:p w14:paraId="0354A826" w14:textId="77777777" w:rsidR="00FF00BD" w:rsidRPr="004D474A" w:rsidRDefault="00FF00BD" w:rsidP="004D474A">
      <w:pPr>
        <w:pStyle w:val="Lijstalinea"/>
        <w:ind w:left="567"/>
        <w:rPr>
          <w:rFonts w:asciiTheme="minorHAnsi" w:hAnsiTheme="minorHAnsi"/>
          <w:lang w:val="en-GB"/>
        </w:rPr>
      </w:pPr>
      <w:r w:rsidRPr="004D474A">
        <w:rPr>
          <w:rFonts w:asciiTheme="minorHAnsi" w:hAnsiTheme="minorHAnsi"/>
          <w:lang w:val="en-GB"/>
        </w:rPr>
        <w:t>Metformin must be discontinued 48 hours before elective surgery under general, spinal or peridural anaesthesia. Therapy may be restarted no earlier than 48 hours following surgery or resumption of oral nutrition and only if normal renal function has been established.</w:t>
      </w:r>
    </w:p>
    <w:p w14:paraId="1ED750C4" w14:textId="77777777" w:rsidR="00FF00BD" w:rsidRPr="004D474A" w:rsidRDefault="00FF00BD" w:rsidP="004D474A">
      <w:pPr>
        <w:pStyle w:val="Lijstalinea"/>
        <w:ind w:left="567"/>
        <w:rPr>
          <w:rFonts w:asciiTheme="minorHAnsi" w:hAnsiTheme="minorHAnsi"/>
          <w:b/>
          <w:lang w:val="en-GB"/>
        </w:rPr>
      </w:pPr>
      <w:r w:rsidRPr="004D474A">
        <w:rPr>
          <w:rFonts w:asciiTheme="minorHAnsi" w:hAnsiTheme="minorHAnsi"/>
          <w:b/>
          <w:lang w:val="en-GB"/>
        </w:rPr>
        <w:t>Other precautions</w:t>
      </w:r>
    </w:p>
    <w:p w14:paraId="45424106" w14:textId="77777777" w:rsidR="00FF00BD" w:rsidRPr="004D474A" w:rsidRDefault="00FF00BD" w:rsidP="004D474A">
      <w:pPr>
        <w:pStyle w:val="Lijstalinea"/>
        <w:ind w:left="567"/>
        <w:rPr>
          <w:rFonts w:asciiTheme="minorHAnsi" w:hAnsiTheme="minorHAnsi"/>
          <w:lang w:val="en-GB"/>
        </w:rPr>
      </w:pPr>
      <w:r w:rsidRPr="004D474A">
        <w:rPr>
          <w:rFonts w:asciiTheme="minorHAnsi" w:hAnsiTheme="minorHAnsi"/>
          <w:lang w:val="en-GB"/>
        </w:rPr>
        <w:t>All patients should continue their diet with a regular distribution of carbohydrate intake during the day. Overweight patients should continue their energy-restricted diet.</w:t>
      </w:r>
    </w:p>
    <w:p w14:paraId="19C56A82" w14:textId="77777777" w:rsidR="00FF00BD" w:rsidRPr="004D474A" w:rsidRDefault="00FF00BD" w:rsidP="004D474A">
      <w:pPr>
        <w:pStyle w:val="Lijstalinea"/>
        <w:ind w:left="567"/>
        <w:rPr>
          <w:rFonts w:asciiTheme="minorHAnsi" w:hAnsiTheme="minorHAnsi"/>
          <w:lang w:val="en-GB"/>
        </w:rPr>
      </w:pPr>
      <w:r w:rsidRPr="004D474A">
        <w:rPr>
          <w:rFonts w:asciiTheme="minorHAnsi" w:hAnsiTheme="minorHAnsi"/>
          <w:lang w:val="en-GB"/>
        </w:rPr>
        <w:t>The usual laboratory tests for diabetes monitoring should be performed regularly.</w:t>
      </w:r>
    </w:p>
    <w:p w14:paraId="4593C336" w14:textId="77777777" w:rsidR="00FF00BD" w:rsidRPr="004D474A" w:rsidRDefault="00FF00BD" w:rsidP="004D474A">
      <w:pPr>
        <w:pStyle w:val="Lijstalinea"/>
        <w:ind w:left="567"/>
        <w:rPr>
          <w:rFonts w:asciiTheme="minorHAnsi" w:hAnsiTheme="minorHAnsi"/>
          <w:b/>
          <w:lang w:val="en-GB"/>
        </w:rPr>
      </w:pPr>
      <w:r w:rsidRPr="004D474A">
        <w:rPr>
          <w:rFonts w:asciiTheme="minorHAnsi" w:hAnsiTheme="minorHAnsi"/>
          <w:lang w:val="en-GB"/>
        </w:rPr>
        <w:t>Metformin alone does not cause hypoglycaemia, but caution is advised when it is used in combination with insulin or other oral antidiabetics (e.g. sulfonylureas or meglitinides).</w:t>
      </w:r>
    </w:p>
    <w:p w14:paraId="50B4BB1E" w14:textId="77777777" w:rsidR="00FF00BD" w:rsidRPr="004D474A" w:rsidRDefault="00FF00BD" w:rsidP="004D474A">
      <w:pPr>
        <w:pStyle w:val="Lijstalinea"/>
        <w:ind w:left="567"/>
        <w:rPr>
          <w:rFonts w:asciiTheme="minorHAnsi" w:hAnsiTheme="minorHAnsi"/>
          <w:lang w:val="en-GB"/>
        </w:rPr>
      </w:pPr>
    </w:p>
    <w:p w14:paraId="407B5932" w14:textId="77777777" w:rsidR="007970DD" w:rsidRPr="004D474A" w:rsidRDefault="004D474A" w:rsidP="00104756">
      <w:pPr>
        <w:pStyle w:val="Lijstalinea"/>
        <w:numPr>
          <w:ilvl w:val="2"/>
          <w:numId w:val="12"/>
        </w:numPr>
        <w:ind w:left="567" w:hanging="851"/>
        <w:rPr>
          <w:rFonts w:asciiTheme="minorHAnsi" w:hAnsiTheme="minorHAnsi"/>
          <w:b/>
          <w:lang w:val="en-GB"/>
        </w:rPr>
      </w:pPr>
      <w:r w:rsidRPr="004D474A">
        <w:rPr>
          <w:rFonts w:asciiTheme="minorHAnsi" w:hAnsiTheme="minorHAnsi"/>
          <w:b/>
          <w:lang w:val="en-GB"/>
        </w:rPr>
        <w:t>Paediatric</w:t>
      </w:r>
      <w:r w:rsidR="007970DD" w:rsidRPr="004D474A">
        <w:rPr>
          <w:rFonts w:asciiTheme="minorHAnsi" w:hAnsiTheme="minorHAnsi"/>
          <w:b/>
          <w:lang w:val="en-GB"/>
        </w:rPr>
        <w:t xml:space="preserve"> population</w:t>
      </w:r>
    </w:p>
    <w:p w14:paraId="5719B133" w14:textId="77777777" w:rsidR="00FF00BD" w:rsidRPr="004D474A" w:rsidRDefault="00FF00BD" w:rsidP="004D474A">
      <w:pPr>
        <w:pStyle w:val="Lijstalinea"/>
        <w:ind w:left="567"/>
        <w:rPr>
          <w:rFonts w:asciiTheme="minorHAnsi" w:hAnsiTheme="minorHAnsi"/>
          <w:lang w:val="en-GB"/>
        </w:rPr>
      </w:pPr>
    </w:p>
    <w:p w14:paraId="0FAFC9CC" w14:textId="77777777" w:rsidR="00FF00BD" w:rsidRPr="004D474A" w:rsidRDefault="00FF00BD" w:rsidP="004D474A">
      <w:pPr>
        <w:pStyle w:val="Lijstalinea"/>
        <w:numPr>
          <w:ilvl w:val="0"/>
          <w:numId w:val="25"/>
        </w:numPr>
        <w:ind w:left="567"/>
        <w:rPr>
          <w:rFonts w:asciiTheme="minorHAnsi" w:hAnsiTheme="minorHAnsi"/>
          <w:lang w:val="en-GB"/>
        </w:rPr>
      </w:pPr>
      <w:r w:rsidRPr="004D474A">
        <w:rPr>
          <w:rFonts w:asciiTheme="minorHAnsi" w:hAnsiTheme="minorHAnsi"/>
          <w:lang w:val="en-GB"/>
        </w:rPr>
        <w:t xml:space="preserve">The diagnosis of type 2 diabetes mellitus should be confirmed before treatment with metformin is initiated. No effect of metformin on growth and puberty has been detected during controlled clinical studies of one-year duration but no long-term data on these specific points are available. Therefore, a careful follow-up of the effect of metformin on these parameters in metformin-treated children, especially prepubescent children, is recommended. </w:t>
      </w:r>
    </w:p>
    <w:p w14:paraId="65DD4989" w14:textId="77777777" w:rsidR="00FF00BD" w:rsidRPr="004D474A" w:rsidRDefault="00FF00BD" w:rsidP="004D474A">
      <w:pPr>
        <w:pStyle w:val="Lijstalinea"/>
        <w:numPr>
          <w:ilvl w:val="0"/>
          <w:numId w:val="25"/>
        </w:numPr>
        <w:ind w:left="567"/>
        <w:rPr>
          <w:rFonts w:asciiTheme="minorHAnsi" w:hAnsiTheme="minorHAnsi"/>
          <w:lang w:val="en-GB"/>
        </w:rPr>
      </w:pPr>
      <w:r w:rsidRPr="004D474A">
        <w:rPr>
          <w:rFonts w:asciiTheme="minorHAnsi" w:hAnsiTheme="minorHAnsi"/>
          <w:bCs/>
          <w:lang w:val="en-GB"/>
        </w:rPr>
        <w:t>Children aged between 10 and 12 years: o</w:t>
      </w:r>
      <w:r w:rsidRPr="004D474A">
        <w:rPr>
          <w:rFonts w:asciiTheme="minorHAnsi" w:hAnsiTheme="minorHAnsi"/>
          <w:lang w:val="en-GB"/>
        </w:rPr>
        <w:t>nly 15 subjects aged between 10 and 12 years were included in the controlled clinical studies conducted in children and adolescents. Although efficacy and safety of metformin in these children did not differ from efficacy and safety in older children and adolescents, particular caution is recommended when prescribing to children aged between 10 and 12 years.</w:t>
      </w:r>
    </w:p>
    <w:p w14:paraId="755AEFF9" w14:textId="77777777" w:rsidR="00FF00BD" w:rsidRPr="004D474A" w:rsidRDefault="00FF00BD" w:rsidP="004D474A">
      <w:pPr>
        <w:pStyle w:val="Lijstalinea"/>
        <w:ind w:left="567"/>
        <w:rPr>
          <w:rFonts w:asciiTheme="minorHAnsi" w:hAnsiTheme="minorHAnsi"/>
          <w:lang w:val="en-GB"/>
        </w:rPr>
      </w:pPr>
    </w:p>
    <w:p w14:paraId="3CB5102E" w14:textId="77777777" w:rsidR="00AE30FE" w:rsidRPr="004D474A" w:rsidRDefault="00AE30FE" w:rsidP="00104756">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Interactions with other medicinal products and other forms of interactions</w:t>
      </w:r>
    </w:p>
    <w:p w14:paraId="093A7DC5" w14:textId="77777777" w:rsidR="00B832C2" w:rsidRPr="004D474A" w:rsidRDefault="00B832C2" w:rsidP="004D474A">
      <w:pPr>
        <w:pStyle w:val="Lijstalinea"/>
        <w:ind w:left="567"/>
        <w:rPr>
          <w:rFonts w:asciiTheme="minorHAnsi" w:hAnsiTheme="minorHAnsi"/>
          <w:lang w:val="en-GB"/>
        </w:rPr>
      </w:pPr>
    </w:p>
    <w:p w14:paraId="23F7A5DE" w14:textId="77777777" w:rsidR="00792744" w:rsidRPr="004D474A" w:rsidRDefault="00792744" w:rsidP="00104756">
      <w:pPr>
        <w:pStyle w:val="Lijstalinea"/>
        <w:numPr>
          <w:ilvl w:val="2"/>
          <w:numId w:val="12"/>
        </w:numPr>
        <w:ind w:left="567" w:hanging="851"/>
        <w:rPr>
          <w:rFonts w:asciiTheme="minorHAnsi" w:hAnsiTheme="minorHAnsi"/>
          <w:b/>
          <w:lang w:val="en-GB"/>
        </w:rPr>
      </w:pPr>
      <w:r w:rsidRPr="004D474A">
        <w:rPr>
          <w:rFonts w:asciiTheme="minorHAnsi" w:hAnsiTheme="minorHAnsi"/>
          <w:b/>
          <w:lang w:val="en-GB"/>
        </w:rPr>
        <w:t>General information</w:t>
      </w:r>
    </w:p>
    <w:p w14:paraId="6EA2EB12" w14:textId="77777777" w:rsidR="00893844" w:rsidRPr="004D474A" w:rsidRDefault="00893844" w:rsidP="004D474A">
      <w:pPr>
        <w:pStyle w:val="Lijstalinea"/>
        <w:ind w:left="567"/>
        <w:rPr>
          <w:rFonts w:asciiTheme="minorHAnsi" w:hAnsiTheme="minorHAnsi"/>
          <w:b/>
          <w:lang w:val="en-GB"/>
        </w:rPr>
      </w:pPr>
    </w:p>
    <w:p w14:paraId="7B20FEEE" w14:textId="77777777" w:rsidR="00893844" w:rsidRPr="004D474A" w:rsidRDefault="00893844" w:rsidP="00893844">
      <w:pPr>
        <w:pStyle w:val="Lijstalinea"/>
        <w:ind w:left="0"/>
        <w:rPr>
          <w:rFonts w:asciiTheme="minorHAnsi" w:hAnsiTheme="minorHAnsi"/>
          <w:b/>
          <w:lang w:val="en-GB"/>
        </w:rPr>
      </w:pPr>
      <w:r w:rsidRPr="004D474A">
        <w:rPr>
          <w:rFonts w:asciiTheme="minorHAnsi" w:hAnsiTheme="minorHAnsi" w:cs="Arial"/>
          <w:b/>
          <w:color w:val="000000"/>
          <w:shd w:val="clear" w:color="auto" w:fill="FFFFFF"/>
          <w:lang w:val="en-GB"/>
        </w:rPr>
        <w:t>Concomitant use not recommended</w:t>
      </w:r>
    </w:p>
    <w:p w14:paraId="3BE0F828" w14:textId="77777777" w:rsidR="00893844" w:rsidRPr="004D474A" w:rsidRDefault="00893844" w:rsidP="004D474A">
      <w:pPr>
        <w:pStyle w:val="Lijstalinea"/>
        <w:numPr>
          <w:ilvl w:val="0"/>
          <w:numId w:val="27"/>
        </w:numPr>
        <w:ind w:left="567"/>
        <w:rPr>
          <w:rFonts w:asciiTheme="minorHAnsi" w:hAnsiTheme="minorHAnsi"/>
          <w:lang w:val="en-GB"/>
        </w:rPr>
      </w:pPr>
      <w:r w:rsidRPr="004D474A">
        <w:rPr>
          <w:rFonts w:asciiTheme="minorHAnsi" w:hAnsiTheme="minorHAnsi"/>
          <w:lang w:val="en-GB"/>
        </w:rPr>
        <w:t>Alcohol: alcohol intoxication is associated with an increased risk of lactic acidosis, particularly in case of fasting, malnutrition or hepatic impairment.</w:t>
      </w:r>
    </w:p>
    <w:p w14:paraId="409CEE93" w14:textId="77777777" w:rsidR="00893844" w:rsidRPr="004D474A" w:rsidRDefault="00893844" w:rsidP="004D474A">
      <w:pPr>
        <w:pStyle w:val="Lijstalinea"/>
        <w:numPr>
          <w:ilvl w:val="0"/>
          <w:numId w:val="27"/>
        </w:numPr>
        <w:ind w:left="567"/>
        <w:rPr>
          <w:rFonts w:asciiTheme="minorHAnsi" w:hAnsiTheme="minorHAnsi"/>
          <w:lang w:val="en-GB"/>
        </w:rPr>
      </w:pPr>
      <w:r w:rsidRPr="004D474A">
        <w:rPr>
          <w:rFonts w:asciiTheme="minorHAnsi" w:hAnsiTheme="minorHAnsi"/>
          <w:lang w:val="en-GB"/>
        </w:rPr>
        <w:t>Iodinated contrast agents: metformin must be discontinued prior to or at the time of the imaging procedure and not restarted until at least 48 hours after, provided that renal function has been re-evaluated and found to be stable.</w:t>
      </w:r>
    </w:p>
    <w:p w14:paraId="5F794149" w14:textId="77777777" w:rsidR="00893844" w:rsidRPr="004D474A" w:rsidRDefault="00893844" w:rsidP="00893844">
      <w:pPr>
        <w:pStyle w:val="Lijstalinea"/>
        <w:ind w:left="0"/>
        <w:rPr>
          <w:rFonts w:asciiTheme="minorHAnsi" w:hAnsiTheme="minorHAnsi"/>
          <w:lang w:val="en-GB"/>
        </w:rPr>
      </w:pPr>
    </w:p>
    <w:p w14:paraId="49CA7D16" w14:textId="77777777" w:rsidR="00893844" w:rsidRPr="004D474A" w:rsidRDefault="00893844" w:rsidP="00893844">
      <w:pPr>
        <w:pStyle w:val="Lijstalinea"/>
        <w:ind w:left="0"/>
        <w:rPr>
          <w:rFonts w:asciiTheme="minorHAnsi" w:hAnsiTheme="minorHAnsi" w:cs="Arial"/>
          <w:b/>
          <w:color w:val="000000"/>
          <w:shd w:val="clear" w:color="auto" w:fill="FFFFFF"/>
          <w:lang w:val="en-GB"/>
        </w:rPr>
      </w:pPr>
      <w:r w:rsidRPr="004D474A">
        <w:rPr>
          <w:rFonts w:asciiTheme="minorHAnsi" w:hAnsiTheme="minorHAnsi" w:cs="Arial"/>
          <w:b/>
          <w:color w:val="000000"/>
          <w:shd w:val="clear" w:color="auto" w:fill="FFFFFF"/>
          <w:lang w:val="en-GB"/>
        </w:rPr>
        <w:t>Combinations requiring precautions for use</w:t>
      </w:r>
    </w:p>
    <w:p w14:paraId="782DA096" w14:textId="77777777" w:rsidR="00893844" w:rsidRPr="004D474A" w:rsidRDefault="00893844" w:rsidP="004D474A">
      <w:pPr>
        <w:pStyle w:val="Lijstalinea"/>
        <w:numPr>
          <w:ilvl w:val="0"/>
          <w:numId w:val="27"/>
        </w:numPr>
        <w:ind w:left="567"/>
        <w:rPr>
          <w:rFonts w:asciiTheme="minorHAnsi" w:hAnsiTheme="minorHAnsi"/>
          <w:lang w:val="en-GB"/>
        </w:rPr>
      </w:pPr>
      <w:r w:rsidRPr="004D474A">
        <w:rPr>
          <w:rFonts w:asciiTheme="minorHAnsi" w:hAnsiTheme="minorHAnsi"/>
          <w:lang w:val="en-GB"/>
        </w:rPr>
        <w:t>Some medicinal products can adversely affect renal function which may increase the risk of lactic acidosis, e.g. NSAIDs, including selective cyclo-oxygenase (COX) II inhibitors, ACE inhibitors, angiotensin II receptor antagonists and diuretics, especially loop diuretics. When starting or using such products in combination with metformin, close monitoring of renal function is necessary.</w:t>
      </w:r>
    </w:p>
    <w:p w14:paraId="09769467" w14:textId="77777777" w:rsidR="00893844" w:rsidRPr="004D474A" w:rsidRDefault="00893844" w:rsidP="004D474A">
      <w:pPr>
        <w:pStyle w:val="Lijstalinea"/>
        <w:numPr>
          <w:ilvl w:val="0"/>
          <w:numId w:val="27"/>
        </w:numPr>
        <w:ind w:left="567"/>
        <w:rPr>
          <w:rFonts w:asciiTheme="minorHAnsi" w:hAnsiTheme="minorHAnsi"/>
          <w:lang w:val="en-GB"/>
        </w:rPr>
      </w:pPr>
      <w:r w:rsidRPr="004D474A">
        <w:rPr>
          <w:rFonts w:asciiTheme="minorHAnsi" w:hAnsiTheme="minorHAnsi"/>
          <w:lang w:val="en-GB"/>
        </w:rPr>
        <w:t>Medicinal products with intrinsic hyperglycaemic activity (e.g. glucocorticoids (systemic and local routes) and sympathomimetics)</w:t>
      </w:r>
      <w:r w:rsidR="00ED66C6" w:rsidRPr="004D474A">
        <w:rPr>
          <w:rFonts w:asciiTheme="minorHAnsi" w:hAnsiTheme="minorHAnsi"/>
          <w:lang w:val="en-GB"/>
        </w:rPr>
        <w:t>: m</w:t>
      </w:r>
      <w:r w:rsidRPr="004D474A">
        <w:rPr>
          <w:rFonts w:asciiTheme="minorHAnsi" w:hAnsiTheme="minorHAnsi"/>
          <w:lang w:val="en-GB"/>
        </w:rPr>
        <w:t>ore frequent blood glucose monitoring may be required, especially at the beginning of treatment. If necessary, adjust the metformin dosage during therapy with the respective medicinal product and upon its discontinuation.</w:t>
      </w:r>
    </w:p>
    <w:p w14:paraId="2527FB47" w14:textId="77777777" w:rsidR="00893844" w:rsidRPr="004D474A" w:rsidRDefault="00893844" w:rsidP="004D474A">
      <w:pPr>
        <w:pStyle w:val="Lijstalinea"/>
        <w:numPr>
          <w:ilvl w:val="0"/>
          <w:numId w:val="27"/>
        </w:numPr>
        <w:ind w:left="567"/>
        <w:rPr>
          <w:rFonts w:asciiTheme="minorHAnsi" w:hAnsiTheme="minorHAnsi"/>
          <w:lang w:val="en-GB"/>
        </w:rPr>
      </w:pPr>
      <w:r w:rsidRPr="004D474A">
        <w:rPr>
          <w:rFonts w:asciiTheme="minorHAnsi" w:hAnsiTheme="minorHAnsi"/>
          <w:lang w:val="en-GB"/>
        </w:rPr>
        <w:t>Organic cation transporters (OCT)</w:t>
      </w:r>
      <w:r w:rsidR="00ED66C6" w:rsidRPr="004D474A">
        <w:rPr>
          <w:rFonts w:asciiTheme="minorHAnsi" w:hAnsiTheme="minorHAnsi"/>
          <w:lang w:val="en-GB"/>
        </w:rPr>
        <w:t xml:space="preserve">: </w:t>
      </w:r>
      <w:r w:rsidRPr="004D474A">
        <w:rPr>
          <w:rFonts w:asciiTheme="minorHAnsi" w:hAnsiTheme="minorHAnsi"/>
          <w:lang w:val="en-GB"/>
        </w:rPr>
        <w:t>Metformin is a substrate of both transporters OCT1 and OCT2.</w:t>
      </w:r>
    </w:p>
    <w:p w14:paraId="09DF8DB1" w14:textId="77777777" w:rsidR="004D474A" w:rsidRDefault="004D474A" w:rsidP="00ED66C6">
      <w:pPr>
        <w:pStyle w:val="Lijstalinea"/>
        <w:ind w:left="426"/>
        <w:rPr>
          <w:rFonts w:asciiTheme="minorHAnsi" w:hAnsiTheme="minorHAnsi"/>
          <w:lang w:val="en-GB"/>
        </w:rPr>
      </w:pPr>
    </w:p>
    <w:p w14:paraId="604B69EF" w14:textId="77777777" w:rsidR="00893844" w:rsidRPr="004D474A" w:rsidRDefault="00893844" w:rsidP="004D474A">
      <w:pPr>
        <w:pStyle w:val="Lijstalinea"/>
        <w:ind w:left="0"/>
        <w:rPr>
          <w:rFonts w:asciiTheme="minorHAnsi" w:hAnsiTheme="minorHAnsi" w:cs="Arial"/>
          <w:b/>
          <w:color w:val="000000"/>
          <w:shd w:val="clear" w:color="auto" w:fill="FFFFFF"/>
          <w:lang w:val="en-GB"/>
        </w:rPr>
      </w:pPr>
      <w:r w:rsidRPr="004D474A">
        <w:rPr>
          <w:rFonts w:asciiTheme="minorHAnsi" w:hAnsiTheme="minorHAnsi" w:cs="Arial"/>
          <w:b/>
          <w:color w:val="000000"/>
          <w:shd w:val="clear" w:color="auto" w:fill="FFFFFF"/>
          <w:lang w:val="en-GB"/>
        </w:rPr>
        <w:t>Co-administration of metformin with</w:t>
      </w:r>
      <w:r w:rsidR="004D474A" w:rsidRPr="004D474A">
        <w:rPr>
          <w:rFonts w:asciiTheme="minorHAnsi" w:hAnsiTheme="minorHAnsi" w:cs="Arial"/>
          <w:b/>
          <w:color w:val="000000"/>
          <w:shd w:val="clear" w:color="auto" w:fill="FFFFFF"/>
          <w:lang w:val="en-GB"/>
        </w:rPr>
        <w:t>:</w:t>
      </w:r>
    </w:p>
    <w:p w14:paraId="482BDD3A" w14:textId="77777777" w:rsidR="00893844" w:rsidRPr="004D474A" w:rsidRDefault="00893844" w:rsidP="004D474A">
      <w:pPr>
        <w:pStyle w:val="Lijstalinea"/>
        <w:numPr>
          <w:ilvl w:val="0"/>
          <w:numId w:val="27"/>
        </w:numPr>
        <w:ind w:left="567"/>
        <w:rPr>
          <w:rFonts w:asciiTheme="minorHAnsi" w:hAnsiTheme="minorHAnsi"/>
          <w:lang w:val="en-GB"/>
        </w:rPr>
      </w:pPr>
      <w:r w:rsidRPr="004D474A">
        <w:rPr>
          <w:rFonts w:asciiTheme="minorHAnsi" w:hAnsiTheme="minorHAnsi"/>
          <w:lang w:val="en-GB"/>
        </w:rPr>
        <w:t>Inhibitors of OCT1 (such as verapamil) may reduce efficacy of metformin.</w:t>
      </w:r>
    </w:p>
    <w:p w14:paraId="55D2C705" w14:textId="77777777" w:rsidR="00893844" w:rsidRPr="004D474A" w:rsidRDefault="00893844" w:rsidP="004D474A">
      <w:pPr>
        <w:pStyle w:val="Lijstalinea"/>
        <w:numPr>
          <w:ilvl w:val="0"/>
          <w:numId w:val="27"/>
        </w:numPr>
        <w:ind w:left="567"/>
        <w:rPr>
          <w:rFonts w:asciiTheme="minorHAnsi" w:hAnsiTheme="minorHAnsi"/>
          <w:lang w:val="en-GB"/>
        </w:rPr>
      </w:pPr>
      <w:r w:rsidRPr="004D474A">
        <w:rPr>
          <w:rFonts w:asciiTheme="minorHAnsi" w:hAnsiTheme="minorHAnsi"/>
          <w:lang w:val="en-GB"/>
        </w:rPr>
        <w:t>Inducers of OCT1 (such as rifampicin) may increase gastrointestinal absorption and efficacy of metformin.</w:t>
      </w:r>
    </w:p>
    <w:p w14:paraId="1229F990" w14:textId="77777777" w:rsidR="00893844" w:rsidRPr="004D474A" w:rsidRDefault="00893844" w:rsidP="004D474A">
      <w:pPr>
        <w:pStyle w:val="Lijstalinea"/>
        <w:numPr>
          <w:ilvl w:val="0"/>
          <w:numId w:val="27"/>
        </w:numPr>
        <w:ind w:left="567"/>
        <w:rPr>
          <w:rFonts w:asciiTheme="minorHAnsi" w:hAnsiTheme="minorHAnsi"/>
          <w:lang w:val="en-GB"/>
        </w:rPr>
      </w:pPr>
      <w:r w:rsidRPr="004D474A">
        <w:rPr>
          <w:rFonts w:asciiTheme="minorHAnsi" w:hAnsiTheme="minorHAnsi"/>
          <w:lang w:val="en-GB"/>
        </w:rPr>
        <w:t xml:space="preserve">Inhibitors of OCT2 (such as cimetidine, dolutegravir, ranolazine, </w:t>
      </w:r>
      <w:proofErr w:type="spellStart"/>
      <w:r w:rsidRPr="004D474A">
        <w:rPr>
          <w:rFonts w:asciiTheme="minorHAnsi" w:hAnsiTheme="minorHAnsi"/>
          <w:lang w:val="en-GB"/>
        </w:rPr>
        <w:t>trimethoprime</w:t>
      </w:r>
      <w:proofErr w:type="spellEnd"/>
      <w:r w:rsidRPr="004D474A">
        <w:rPr>
          <w:rFonts w:asciiTheme="minorHAnsi" w:hAnsiTheme="minorHAnsi"/>
          <w:lang w:val="en-GB"/>
        </w:rPr>
        <w:t xml:space="preserve">, </w:t>
      </w:r>
      <w:proofErr w:type="spellStart"/>
      <w:r w:rsidRPr="004D474A">
        <w:rPr>
          <w:rFonts w:asciiTheme="minorHAnsi" w:hAnsiTheme="minorHAnsi"/>
          <w:lang w:val="en-GB"/>
        </w:rPr>
        <w:t>vandetanib</w:t>
      </w:r>
      <w:proofErr w:type="spellEnd"/>
      <w:r w:rsidRPr="004D474A">
        <w:rPr>
          <w:rFonts w:asciiTheme="minorHAnsi" w:hAnsiTheme="minorHAnsi"/>
          <w:lang w:val="en-GB"/>
        </w:rPr>
        <w:t xml:space="preserve">, </w:t>
      </w:r>
      <w:proofErr w:type="spellStart"/>
      <w:r w:rsidRPr="004D474A">
        <w:rPr>
          <w:rFonts w:asciiTheme="minorHAnsi" w:hAnsiTheme="minorHAnsi"/>
          <w:lang w:val="en-GB"/>
        </w:rPr>
        <w:t>isavuconazole</w:t>
      </w:r>
      <w:proofErr w:type="spellEnd"/>
      <w:r w:rsidRPr="004D474A">
        <w:rPr>
          <w:rFonts w:asciiTheme="minorHAnsi" w:hAnsiTheme="minorHAnsi"/>
          <w:lang w:val="en-GB"/>
        </w:rPr>
        <w:t>) may decrease the renal elimination of metformin and thus lead to an increase in metformin plasma concentration.</w:t>
      </w:r>
    </w:p>
    <w:p w14:paraId="6F57CE9E" w14:textId="77777777" w:rsidR="00893844" w:rsidRPr="004D474A" w:rsidRDefault="00893844" w:rsidP="004D474A">
      <w:pPr>
        <w:pStyle w:val="Lijstalinea"/>
        <w:numPr>
          <w:ilvl w:val="0"/>
          <w:numId w:val="27"/>
        </w:numPr>
        <w:ind w:left="567"/>
        <w:rPr>
          <w:rFonts w:asciiTheme="minorHAnsi" w:hAnsiTheme="minorHAnsi"/>
          <w:lang w:val="en-GB"/>
        </w:rPr>
      </w:pPr>
      <w:r w:rsidRPr="004D474A">
        <w:rPr>
          <w:rFonts w:asciiTheme="minorHAnsi" w:hAnsiTheme="minorHAnsi"/>
          <w:lang w:val="en-GB"/>
        </w:rPr>
        <w:t xml:space="preserve">Inhibitors of both OCT1 and OCT2 (such as </w:t>
      </w:r>
      <w:proofErr w:type="spellStart"/>
      <w:r w:rsidRPr="004D474A">
        <w:rPr>
          <w:rFonts w:asciiTheme="minorHAnsi" w:hAnsiTheme="minorHAnsi"/>
          <w:lang w:val="en-GB"/>
        </w:rPr>
        <w:t>crizotinib</w:t>
      </w:r>
      <w:proofErr w:type="spellEnd"/>
      <w:r w:rsidRPr="004D474A">
        <w:rPr>
          <w:rFonts w:asciiTheme="minorHAnsi" w:hAnsiTheme="minorHAnsi"/>
          <w:lang w:val="en-GB"/>
        </w:rPr>
        <w:t xml:space="preserve">, </w:t>
      </w:r>
      <w:proofErr w:type="spellStart"/>
      <w:r w:rsidRPr="004D474A">
        <w:rPr>
          <w:rFonts w:asciiTheme="minorHAnsi" w:hAnsiTheme="minorHAnsi"/>
          <w:lang w:val="en-GB"/>
        </w:rPr>
        <w:t>olaparib</w:t>
      </w:r>
      <w:proofErr w:type="spellEnd"/>
      <w:r w:rsidRPr="004D474A">
        <w:rPr>
          <w:rFonts w:asciiTheme="minorHAnsi" w:hAnsiTheme="minorHAnsi"/>
          <w:lang w:val="en-GB"/>
        </w:rPr>
        <w:t>) may alter efficacy and renal elimination of metformin.</w:t>
      </w:r>
    </w:p>
    <w:p w14:paraId="169E8447" w14:textId="77777777" w:rsidR="00893844" w:rsidRPr="004D474A" w:rsidRDefault="00893844" w:rsidP="004D474A">
      <w:pPr>
        <w:pStyle w:val="Lijstalinea"/>
        <w:ind w:left="567"/>
        <w:rPr>
          <w:rFonts w:asciiTheme="minorHAnsi" w:hAnsiTheme="minorHAnsi"/>
          <w:lang w:val="en-GB"/>
        </w:rPr>
      </w:pPr>
      <w:r w:rsidRPr="004D474A">
        <w:rPr>
          <w:rFonts w:asciiTheme="minorHAnsi" w:hAnsiTheme="minorHAnsi"/>
          <w:lang w:val="en-GB"/>
        </w:rPr>
        <w:t>Caution is therefore advised, especially in patients with renal impairment, when these drugs are co-administered with metformin, as metformin plasma concentration may increase. If needed, dose adjustment of metformin may be considered as OCT inhibitors/inducers may alter the efficacy of metformin.</w:t>
      </w:r>
    </w:p>
    <w:p w14:paraId="5A455B74" w14:textId="77777777" w:rsidR="00B3775E" w:rsidRPr="004D474A" w:rsidRDefault="00B3775E" w:rsidP="004D474A">
      <w:pPr>
        <w:pStyle w:val="Lijstalinea"/>
        <w:ind w:left="567"/>
        <w:rPr>
          <w:rFonts w:asciiTheme="minorHAnsi" w:hAnsiTheme="minorHAnsi"/>
          <w:lang w:val="en-GB"/>
        </w:rPr>
      </w:pPr>
    </w:p>
    <w:p w14:paraId="31D24BCE" w14:textId="77777777" w:rsidR="00792744" w:rsidRPr="004D474A" w:rsidRDefault="00792744" w:rsidP="00104756">
      <w:pPr>
        <w:pStyle w:val="Lijstalinea"/>
        <w:numPr>
          <w:ilvl w:val="2"/>
          <w:numId w:val="12"/>
        </w:numPr>
        <w:ind w:left="567" w:hanging="851"/>
        <w:rPr>
          <w:rFonts w:asciiTheme="minorHAnsi" w:hAnsiTheme="minorHAnsi"/>
          <w:b/>
          <w:lang w:val="en-GB"/>
        </w:rPr>
      </w:pPr>
      <w:r w:rsidRPr="004D474A">
        <w:rPr>
          <w:rFonts w:asciiTheme="minorHAnsi" w:hAnsiTheme="minorHAnsi"/>
          <w:b/>
          <w:lang w:val="en-GB"/>
        </w:rPr>
        <w:t>Additional information on special populations</w:t>
      </w:r>
    </w:p>
    <w:p w14:paraId="6BB2EF6E" w14:textId="77777777" w:rsidR="00ED66C6" w:rsidRPr="004D474A" w:rsidRDefault="00ED66C6" w:rsidP="004D474A">
      <w:pPr>
        <w:pStyle w:val="Lijstalinea"/>
        <w:ind w:left="567"/>
        <w:rPr>
          <w:rFonts w:asciiTheme="minorHAnsi" w:hAnsiTheme="minorHAnsi"/>
          <w:lang w:val="en-GB"/>
        </w:rPr>
      </w:pPr>
      <w:r w:rsidRPr="004D474A">
        <w:rPr>
          <w:rFonts w:asciiTheme="minorHAnsi" w:hAnsiTheme="minorHAnsi"/>
          <w:lang w:val="en-GB"/>
        </w:rPr>
        <w:t>No additional information</w:t>
      </w:r>
    </w:p>
    <w:p w14:paraId="4A9847BF" w14:textId="77777777" w:rsidR="00ED66C6" w:rsidRPr="004D474A" w:rsidRDefault="00ED66C6" w:rsidP="004D474A">
      <w:pPr>
        <w:pStyle w:val="Lijstalinea"/>
        <w:ind w:left="567"/>
        <w:rPr>
          <w:rFonts w:asciiTheme="minorHAnsi" w:hAnsiTheme="minorHAnsi"/>
          <w:lang w:val="en-GB"/>
        </w:rPr>
      </w:pPr>
    </w:p>
    <w:p w14:paraId="4F053CBB" w14:textId="77777777" w:rsidR="00792744" w:rsidRPr="004D474A" w:rsidRDefault="004D474A" w:rsidP="00104756">
      <w:pPr>
        <w:pStyle w:val="Lijstalinea"/>
        <w:numPr>
          <w:ilvl w:val="2"/>
          <w:numId w:val="12"/>
        </w:numPr>
        <w:ind w:left="567" w:hanging="851"/>
        <w:rPr>
          <w:rFonts w:asciiTheme="minorHAnsi" w:hAnsiTheme="minorHAnsi"/>
          <w:b/>
          <w:lang w:val="en-GB"/>
        </w:rPr>
      </w:pPr>
      <w:r w:rsidRPr="004D474A">
        <w:rPr>
          <w:rFonts w:asciiTheme="minorHAnsi" w:hAnsiTheme="minorHAnsi"/>
          <w:b/>
          <w:lang w:val="en-GB"/>
        </w:rPr>
        <w:t>Paediatric</w:t>
      </w:r>
      <w:r w:rsidR="00792744" w:rsidRPr="004D474A">
        <w:rPr>
          <w:rFonts w:asciiTheme="minorHAnsi" w:hAnsiTheme="minorHAnsi"/>
          <w:b/>
          <w:lang w:val="en-GB"/>
        </w:rPr>
        <w:t xml:space="preserve"> population</w:t>
      </w:r>
    </w:p>
    <w:p w14:paraId="16F7C3AD" w14:textId="7AA5F255" w:rsidR="00ED66C6" w:rsidRDefault="00ED66C6" w:rsidP="004D474A">
      <w:pPr>
        <w:pStyle w:val="Lijstalinea"/>
        <w:ind w:left="567"/>
        <w:rPr>
          <w:rFonts w:asciiTheme="minorHAnsi" w:hAnsiTheme="minorHAnsi"/>
          <w:lang w:val="en-GB"/>
        </w:rPr>
      </w:pPr>
      <w:r w:rsidRPr="004D474A">
        <w:rPr>
          <w:rFonts w:asciiTheme="minorHAnsi" w:hAnsiTheme="minorHAnsi"/>
          <w:lang w:val="en-GB"/>
        </w:rPr>
        <w:t>No additional information</w:t>
      </w:r>
    </w:p>
    <w:p w14:paraId="4B4EB1B8" w14:textId="77777777" w:rsidR="00FC5667" w:rsidRPr="004D474A" w:rsidRDefault="00FC5667" w:rsidP="004D474A">
      <w:pPr>
        <w:pStyle w:val="Lijstalinea"/>
        <w:ind w:left="567"/>
        <w:rPr>
          <w:rFonts w:asciiTheme="minorHAnsi" w:hAnsiTheme="minorHAnsi"/>
          <w:lang w:val="en-GB"/>
        </w:rPr>
      </w:pPr>
    </w:p>
    <w:p w14:paraId="3A1A9359" w14:textId="77777777" w:rsidR="00ED66C6" w:rsidRPr="004D474A" w:rsidRDefault="00ED66C6" w:rsidP="004D474A">
      <w:pPr>
        <w:pStyle w:val="Lijstalinea"/>
        <w:ind w:left="567"/>
        <w:rPr>
          <w:rFonts w:asciiTheme="minorHAnsi" w:hAnsiTheme="minorHAnsi"/>
          <w:lang w:val="en-GB"/>
        </w:rPr>
      </w:pPr>
    </w:p>
    <w:p w14:paraId="28938C75" w14:textId="6083FD05" w:rsidR="00AE30FE" w:rsidRDefault="00F83631" w:rsidP="00104756">
      <w:pPr>
        <w:pStyle w:val="Lijstalinea"/>
        <w:numPr>
          <w:ilvl w:val="1"/>
          <w:numId w:val="12"/>
        </w:numPr>
        <w:ind w:left="567" w:hanging="851"/>
        <w:rPr>
          <w:rFonts w:asciiTheme="minorHAnsi" w:hAnsiTheme="minorHAnsi"/>
          <w:b/>
          <w:lang w:val="en-GB"/>
        </w:rPr>
      </w:pPr>
      <w:r>
        <w:rPr>
          <w:rFonts w:asciiTheme="minorHAnsi" w:hAnsiTheme="minorHAnsi"/>
          <w:b/>
          <w:lang w:val="en-GB"/>
        </w:rPr>
        <w:t>Fertility, p</w:t>
      </w:r>
      <w:r w:rsidR="00AE30FE" w:rsidRPr="004D474A">
        <w:rPr>
          <w:rFonts w:asciiTheme="minorHAnsi" w:hAnsiTheme="minorHAnsi"/>
          <w:b/>
          <w:lang w:val="en-GB"/>
        </w:rPr>
        <w:t>regnancy</w:t>
      </w:r>
      <w:r>
        <w:rPr>
          <w:rFonts w:asciiTheme="minorHAnsi" w:hAnsiTheme="minorHAnsi"/>
          <w:b/>
          <w:lang w:val="en-GB"/>
        </w:rPr>
        <w:t xml:space="preserve"> and</w:t>
      </w:r>
      <w:r w:rsidR="00AE30FE" w:rsidRPr="004D474A">
        <w:rPr>
          <w:rFonts w:asciiTheme="minorHAnsi" w:hAnsiTheme="minorHAnsi"/>
          <w:b/>
          <w:lang w:val="en-GB"/>
        </w:rPr>
        <w:t xml:space="preserve"> lactation</w:t>
      </w:r>
      <w:r w:rsidR="00823999" w:rsidRPr="004D474A">
        <w:rPr>
          <w:rFonts w:asciiTheme="minorHAnsi" w:hAnsiTheme="minorHAnsi"/>
          <w:b/>
          <w:lang w:val="en-GB"/>
        </w:rPr>
        <w:t xml:space="preserve"> </w:t>
      </w:r>
    </w:p>
    <w:p w14:paraId="3F803726" w14:textId="77777777" w:rsidR="003D6994" w:rsidRPr="004D474A" w:rsidRDefault="003D6994" w:rsidP="003D6994">
      <w:pPr>
        <w:pStyle w:val="Lijstalinea"/>
        <w:ind w:left="567"/>
        <w:rPr>
          <w:rFonts w:asciiTheme="minorHAnsi" w:hAnsiTheme="minorHAnsi"/>
          <w:b/>
          <w:lang w:val="en-GB"/>
        </w:rPr>
      </w:pPr>
    </w:p>
    <w:p w14:paraId="3C95E741" w14:textId="7B005D95" w:rsidR="00F83631" w:rsidRPr="00F83631" w:rsidRDefault="00F83631" w:rsidP="00F83631">
      <w:pPr>
        <w:pStyle w:val="Lijstalinea"/>
        <w:numPr>
          <w:ilvl w:val="2"/>
          <w:numId w:val="29"/>
        </w:numPr>
        <w:rPr>
          <w:rFonts w:asciiTheme="minorHAnsi" w:hAnsiTheme="minorHAnsi"/>
          <w:b/>
          <w:lang w:val="en-GB"/>
        </w:rPr>
      </w:pPr>
      <w:r w:rsidRPr="00F83631">
        <w:rPr>
          <w:rFonts w:asciiTheme="minorHAnsi" w:hAnsiTheme="minorHAnsi"/>
          <w:b/>
          <w:lang w:val="en-GB"/>
        </w:rPr>
        <w:t>Fertility</w:t>
      </w:r>
    </w:p>
    <w:p w14:paraId="5DD585BF" w14:textId="07122D87" w:rsidR="00F83631" w:rsidRDefault="00F83631" w:rsidP="00F83631">
      <w:pPr>
        <w:pStyle w:val="Lijstalinea"/>
        <w:ind w:left="567"/>
        <w:rPr>
          <w:rFonts w:asciiTheme="minorHAnsi" w:hAnsiTheme="minorHAnsi"/>
          <w:lang w:val="en-GB"/>
        </w:rPr>
      </w:pPr>
      <w:r w:rsidRPr="004D474A">
        <w:rPr>
          <w:rFonts w:asciiTheme="minorHAnsi" w:hAnsiTheme="minorHAnsi"/>
          <w:lang w:val="en-GB"/>
        </w:rPr>
        <w:t>Fertility of male or female rats was unaffected by metformin when administered at doses as high as 600 mg/kg/day, which is approximately three times the maximum recommended human daily dose based on body surface area comparisons.</w:t>
      </w:r>
    </w:p>
    <w:p w14:paraId="5F695681" w14:textId="77777777" w:rsidR="00F83631" w:rsidRPr="004D474A" w:rsidRDefault="00F83631" w:rsidP="00F83631">
      <w:pPr>
        <w:pStyle w:val="Lijstalinea"/>
        <w:ind w:left="567"/>
        <w:rPr>
          <w:rFonts w:asciiTheme="minorHAnsi" w:hAnsiTheme="minorHAnsi"/>
          <w:lang w:val="en-GB"/>
        </w:rPr>
      </w:pPr>
    </w:p>
    <w:p w14:paraId="34D0940F" w14:textId="156E766F" w:rsidR="00DC4881" w:rsidRPr="00F83631" w:rsidRDefault="00DC4881" w:rsidP="00F83631">
      <w:pPr>
        <w:pStyle w:val="Lijstalinea"/>
        <w:numPr>
          <w:ilvl w:val="2"/>
          <w:numId w:val="29"/>
        </w:numPr>
        <w:rPr>
          <w:rFonts w:asciiTheme="minorHAnsi" w:hAnsiTheme="minorHAnsi"/>
          <w:b/>
          <w:lang w:val="en-GB"/>
        </w:rPr>
      </w:pPr>
      <w:r w:rsidRPr="00F83631">
        <w:rPr>
          <w:rFonts w:asciiTheme="minorHAnsi" w:hAnsiTheme="minorHAnsi"/>
          <w:b/>
          <w:lang w:val="en-GB"/>
        </w:rPr>
        <w:t>Pregnancy</w:t>
      </w:r>
    </w:p>
    <w:p w14:paraId="40CCC277" w14:textId="77777777" w:rsidR="00823999" w:rsidRPr="004D474A" w:rsidRDefault="00823999" w:rsidP="004D474A">
      <w:pPr>
        <w:pStyle w:val="Lijstalinea"/>
        <w:ind w:left="567"/>
        <w:rPr>
          <w:rFonts w:asciiTheme="minorHAnsi" w:hAnsiTheme="minorHAnsi"/>
          <w:lang w:val="en-GB"/>
        </w:rPr>
      </w:pPr>
      <w:r w:rsidRPr="004D474A">
        <w:rPr>
          <w:rFonts w:asciiTheme="minorHAnsi" w:hAnsiTheme="minorHAnsi"/>
          <w:lang w:val="en-GB"/>
        </w:rPr>
        <w:t>Uncontrolled diabetes during pregnancy (gestational or permanent) is associated with increased risk of congenital abnormalities and perinatal mortality. A limited amount of data from the use of metformin in pregnant women does not indicate an increased risk of congenital abnormalities. Animal studies do not indicate harmful effects with respect to pregnancy, embryonic or foetal development, parturition or postnatal development. When the patient plans to become pregnant and during pregnancy, it is recommended that diabetes is not treated with metformin but insulin be used to maintain blood glucose levels as close to normal as possible, to reduce the risk of malformations of the foetus.</w:t>
      </w:r>
    </w:p>
    <w:p w14:paraId="4BCBD91E" w14:textId="5CD5E992" w:rsidR="00DC4881" w:rsidRPr="00F83631" w:rsidRDefault="00F83631" w:rsidP="00F83631">
      <w:pPr>
        <w:rPr>
          <w:rFonts w:asciiTheme="minorHAnsi" w:hAnsiTheme="minorHAnsi"/>
          <w:b/>
          <w:lang w:val="en-GB"/>
        </w:rPr>
      </w:pPr>
      <w:r>
        <w:rPr>
          <w:rFonts w:asciiTheme="minorHAnsi" w:hAnsiTheme="minorHAnsi"/>
          <w:b/>
          <w:lang w:val="en-GB"/>
        </w:rPr>
        <w:t>4.6.3</w:t>
      </w:r>
      <w:r>
        <w:rPr>
          <w:rFonts w:asciiTheme="minorHAnsi" w:hAnsiTheme="minorHAnsi"/>
          <w:b/>
          <w:lang w:val="en-GB"/>
        </w:rPr>
        <w:tab/>
      </w:r>
      <w:r w:rsidR="00DC4881" w:rsidRPr="00F83631">
        <w:rPr>
          <w:rFonts w:asciiTheme="minorHAnsi" w:hAnsiTheme="minorHAnsi"/>
          <w:b/>
          <w:lang w:val="en-GB"/>
        </w:rPr>
        <w:t>Lactation</w:t>
      </w:r>
    </w:p>
    <w:p w14:paraId="66553574" w14:textId="77777777" w:rsidR="00A3538C" w:rsidRPr="004D474A" w:rsidRDefault="00A3538C" w:rsidP="004D474A">
      <w:pPr>
        <w:pStyle w:val="Lijstalinea"/>
        <w:ind w:left="567"/>
        <w:rPr>
          <w:rFonts w:asciiTheme="minorHAnsi" w:hAnsiTheme="minorHAnsi"/>
          <w:lang w:val="en-GB"/>
        </w:rPr>
      </w:pPr>
      <w:r w:rsidRPr="004D474A">
        <w:rPr>
          <w:rFonts w:asciiTheme="minorHAnsi" w:hAnsiTheme="minorHAnsi"/>
          <w:lang w:val="en-GB"/>
        </w:rPr>
        <w:t xml:space="preserve">Metformin is excreted into human breast milk. No adverse effects were observed in breastfed </w:t>
      </w:r>
      <w:r w:rsidR="004D474A">
        <w:rPr>
          <w:rFonts w:asciiTheme="minorHAnsi" w:hAnsiTheme="minorHAnsi"/>
          <w:lang w:val="en-GB"/>
        </w:rPr>
        <w:t>i</w:t>
      </w:r>
      <w:r w:rsidRPr="004D474A">
        <w:rPr>
          <w:rFonts w:asciiTheme="minorHAnsi" w:hAnsiTheme="minorHAnsi"/>
          <w:lang w:val="en-GB"/>
        </w:rPr>
        <w:t>nfants. However, as only limited data are available, breast-feeding is not recommended during metformin treatment. A decision on whether to discontinue breast-feeding should be made, taking into account the benefit of breast-feeding and the potential risk to adverse effects on the child.</w:t>
      </w:r>
    </w:p>
    <w:p w14:paraId="6DF09002" w14:textId="77777777" w:rsidR="00A3538C" w:rsidRPr="004D474A" w:rsidRDefault="00A3538C" w:rsidP="004D474A">
      <w:pPr>
        <w:pStyle w:val="Lijstalinea"/>
        <w:ind w:left="567"/>
        <w:rPr>
          <w:rFonts w:asciiTheme="minorHAnsi" w:hAnsiTheme="minorHAnsi"/>
          <w:lang w:val="en-GB"/>
        </w:rPr>
      </w:pPr>
    </w:p>
    <w:p w14:paraId="6A1C5801" w14:textId="77777777" w:rsidR="00A3538C" w:rsidRPr="004D474A" w:rsidRDefault="00A3538C" w:rsidP="004D474A">
      <w:pPr>
        <w:pStyle w:val="Lijstalinea"/>
        <w:ind w:left="567"/>
        <w:rPr>
          <w:rFonts w:asciiTheme="minorHAnsi" w:hAnsiTheme="minorHAnsi"/>
          <w:lang w:val="en-GB"/>
        </w:rPr>
      </w:pPr>
    </w:p>
    <w:p w14:paraId="5C690457" w14:textId="77777777" w:rsidR="00AE30FE" w:rsidRPr="004D474A" w:rsidRDefault="00AE30FE" w:rsidP="00F83631">
      <w:pPr>
        <w:pStyle w:val="Lijstalinea"/>
        <w:numPr>
          <w:ilvl w:val="1"/>
          <w:numId w:val="29"/>
        </w:numPr>
        <w:ind w:left="567" w:hanging="851"/>
        <w:rPr>
          <w:rFonts w:asciiTheme="minorHAnsi" w:hAnsiTheme="minorHAnsi"/>
          <w:b/>
          <w:lang w:val="en-GB"/>
        </w:rPr>
      </w:pPr>
      <w:r w:rsidRPr="004D474A">
        <w:rPr>
          <w:rFonts w:asciiTheme="minorHAnsi" w:hAnsiTheme="minorHAnsi"/>
          <w:b/>
          <w:lang w:val="en-GB"/>
        </w:rPr>
        <w:t>Effects on the ability to drive and use machines</w:t>
      </w:r>
    </w:p>
    <w:p w14:paraId="43D85F9D" w14:textId="77777777" w:rsidR="00A3538C" w:rsidRPr="004D474A" w:rsidRDefault="00A3538C" w:rsidP="004D474A">
      <w:pPr>
        <w:pStyle w:val="Lijstalinea"/>
        <w:ind w:left="567"/>
        <w:rPr>
          <w:rFonts w:asciiTheme="minorHAnsi" w:hAnsiTheme="minorHAnsi"/>
          <w:b/>
          <w:lang w:val="en-GB"/>
        </w:rPr>
      </w:pPr>
      <w:r w:rsidRPr="004D474A">
        <w:rPr>
          <w:rFonts w:asciiTheme="minorHAnsi" w:hAnsiTheme="minorHAnsi"/>
          <w:lang w:val="en-GB"/>
        </w:rPr>
        <w:t>Metformin monotherapy does not cause hypoglycaemia and therefore has no effect on the ability to drive or to use machines. However, patients should be alerted to the risk of hypoglycaemia when metformin is used in combination with other antidiabetic agents (e.g. sulfonylureas, insulin or meglitinides).</w:t>
      </w:r>
    </w:p>
    <w:p w14:paraId="5ED8D3FD" w14:textId="77777777" w:rsidR="00A3538C" w:rsidRPr="004D474A" w:rsidRDefault="00A3538C" w:rsidP="004D474A">
      <w:pPr>
        <w:pStyle w:val="Lijstalinea"/>
        <w:ind w:left="567"/>
        <w:rPr>
          <w:rFonts w:asciiTheme="minorHAnsi" w:hAnsiTheme="minorHAnsi"/>
          <w:b/>
          <w:lang w:val="en-GB"/>
        </w:rPr>
      </w:pPr>
    </w:p>
    <w:p w14:paraId="3F497577" w14:textId="77777777" w:rsidR="00AE30FE" w:rsidRPr="004D474A" w:rsidRDefault="00AE30FE" w:rsidP="00F83631">
      <w:pPr>
        <w:pStyle w:val="Lijstalinea"/>
        <w:numPr>
          <w:ilvl w:val="1"/>
          <w:numId w:val="29"/>
        </w:numPr>
        <w:ind w:left="567" w:hanging="851"/>
        <w:rPr>
          <w:rFonts w:asciiTheme="minorHAnsi" w:hAnsiTheme="minorHAnsi"/>
          <w:b/>
          <w:lang w:val="en-GB"/>
        </w:rPr>
      </w:pPr>
      <w:r w:rsidRPr="004D474A">
        <w:rPr>
          <w:rFonts w:asciiTheme="minorHAnsi" w:hAnsiTheme="minorHAnsi"/>
          <w:b/>
          <w:lang w:val="en-GB"/>
        </w:rPr>
        <w:t>Undesirable effects</w:t>
      </w:r>
    </w:p>
    <w:p w14:paraId="002C26EF" w14:textId="77777777" w:rsidR="00A3538C" w:rsidRPr="004D474A" w:rsidRDefault="00A3538C" w:rsidP="00A3538C">
      <w:pPr>
        <w:pStyle w:val="Lijstalinea"/>
        <w:ind w:left="851"/>
        <w:rPr>
          <w:rFonts w:asciiTheme="minorHAnsi" w:hAnsiTheme="minorHAnsi"/>
          <w:lang w:val="en-GB"/>
        </w:rPr>
      </w:pPr>
    </w:p>
    <w:p w14:paraId="38DE43FD" w14:textId="77777777" w:rsidR="00A3538C" w:rsidRPr="004D474A" w:rsidRDefault="00A3538C" w:rsidP="00A3538C">
      <w:pPr>
        <w:pStyle w:val="Lijstalinea"/>
        <w:numPr>
          <w:ilvl w:val="0"/>
          <w:numId w:val="28"/>
        </w:numPr>
        <w:ind w:left="851"/>
        <w:rPr>
          <w:rFonts w:asciiTheme="minorHAnsi" w:hAnsiTheme="minorHAnsi"/>
          <w:lang w:val="en-GB"/>
        </w:rPr>
      </w:pPr>
      <w:r w:rsidRPr="004D474A">
        <w:rPr>
          <w:rFonts w:asciiTheme="minorHAnsi" w:hAnsiTheme="minorHAnsi"/>
          <w:lang w:val="en-GB"/>
        </w:rPr>
        <w:t xml:space="preserve">During treatment initiation, the most common adverse reactions are nausea, vomiting, diarrhoea, abdominal pain and loss of appetite which resolve spontaneously in most cases. </w:t>
      </w:r>
    </w:p>
    <w:p w14:paraId="41E31E59" w14:textId="77777777" w:rsidR="00A3538C" w:rsidRPr="004D474A" w:rsidRDefault="00A3538C" w:rsidP="00A3538C">
      <w:pPr>
        <w:pStyle w:val="Lijstalinea"/>
        <w:numPr>
          <w:ilvl w:val="0"/>
          <w:numId w:val="28"/>
        </w:numPr>
        <w:ind w:left="851"/>
        <w:rPr>
          <w:rFonts w:asciiTheme="minorHAnsi" w:hAnsiTheme="minorHAnsi"/>
          <w:lang w:val="en-GB"/>
        </w:rPr>
      </w:pPr>
      <w:r w:rsidRPr="004D474A">
        <w:rPr>
          <w:rFonts w:asciiTheme="minorHAnsi" w:hAnsiTheme="minorHAnsi"/>
          <w:lang w:val="en-GB"/>
        </w:rPr>
        <w:t>To prevent them, it is recommended to take metformin in 2 or 3 daily doses and to increase slowly the doses.</w:t>
      </w:r>
    </w:p>
    <w:p w14:paraId="4110119A" w14:textId="77777777" w:rsidR="00A3538C" w:rsidRPr="004D474A" w:rsidRDefault="00A3538C" w:rsidP="00A3538C">
      <w:pPr>
        <w:pStyle w:val="Lijstalinea"/>
        <w:numPr>
          <w:ilvl w:val="0"/>
          <w:numId w:val="28"/>
        </w:numPr>
        <w:ind w:left="851"/>
        <w:rPr>
          <w:rFonts w:asciiTheme="minorHAnsi" w:hAnsiTheme="minorHAnsi"/>
          <w:lang w:val="en-GB"/>
        </w:rPr>
      </w:pPr>
      <w:r w:rsidRPr="004D474A">
        <w:rPr>
          <w:rFonts w:asciiTheme="minorHAnsi" w:hAnsiTheme="minorHAnsi"/>
          <w:lang w:val="en-GB"/>
        </w:rPr>
        <w:t>In published and post marketing data and in controlled clinical studies in a limited paediatric population aged 10-16 years treated during 1 year, adverse event reporting was similar in nature and severity to that reported in adults.</w:t>
      </w:r>
    </w:p>
    <w:p w14:paraId="20800F8C" w14:textId="77777777" w:rsidR="00A3538C" w:rsidRPr="004D474A" w:rsidRDefault="00A3538C" w:rsidP="00A3538C">
      <w:pPr>
        <w:pStyle w:val="Lijstalinea"/>
        <w:ind w:left="567"/>
        <w:rPr>
          <w:rFonts w:asciiTheme="minorHAnsi" w:hAnsiTheme="minorHAnsi"/>
          <w:lang w:val="en-GB"/>
        </w:rPr>
      </w:pPr>
    </w:p>
    <w:p w14:paraId="6BE13617" w14:textId="77777777" w:rsidR="00A3538C" w:rsidRPr="004D474A" w:rsidRDefault="00A3538C" w:rsidP="00A3538C">
      <w:pPr>
        <w:pStyle w:val="Lijstalinea"/>
        <w:ind w:left="567"/>
        <w:rPr>
          <w:rFonts w:asciiTheme="minorHAnsi" w:hAnsiTheme="minorHAnsi"/>
          <w:lang w:val="en-GB"/>
        </w:rPr>
      </w:pPr>
      <w:r w:rsidRPr="004D474A">
        <w:rPr>
          <w:rFonts w:asciiTheme="minorHAnsi" w:hAnsiTheme="minorHAnsi"/>
          <w:lang w:val="en-GB"/>
        </w:rPr>
        <w:t>The following adverse reactions may occur under treatment with metformin. Frequencies are defined as follows: very common: ≥1/10; common ≥1/100, &lt;1/10; uncommon ≥1/1,000, &lt;1/100; rare ≥1/10,000, &lt;1/1,000; very rare &lt;1/10,000.</w:t>
      </w:r>
    </w:p>
    <w:p w14:paraId="39E4EE17" w14:textId="77777777" w:rsidR="00A3538C" w:rsidRPr="004D474A" w:rsidRDefault="00A3538C" w:rsidP="00A3538C">
      <w:pPr>
        <w:pStyle w:val="Lijstalinea"/>
        <w:ind w:left="567"/>
        <w:rPr>
          <w:rFonts w:asciiTheme="minorHAnsi" w:hAnsiTheme="minorHAnsi"/>
          <w:lang w:val="en-GB"/>
        </w:rPr>
      </w:pPr>
    </w:p>
    <w:p w14:paraId="1E8ECB30" w14:textId="77777777" w:rsidR="00A3538C" w:rsidRPr="004D474A" w:rsidRDefault="00A3538C" w:rsidP="00A3538C">
      <w:pPr>
        <w:pStyle w:val="Lijstalinea"/>
        <w:ind w:left="567"/>
        <w:rPr>
          <w:rFonts w:asciiTheme="minorHAnsi" w:hAnsiTheme="minorHAnsi"/>
          <w:b/>
          <w:lang w:val="en-GB"/>
        </w:rPr>
      </w:pPr>
      <w:r w:rsidRPr="004D474A">
        <w:rPr>
          <w:rFonts w:asciiTheme="minorHAnsi" w:hAnsiTheme="minorHAnsi"/>
          <w:b/>
          <w:lang w:val="en-GB"/>
        </w:rPr>
        <w:t>Metabolism and nutrition disorders</w:t>
      </w:r>
    </w:p>
    <w:p w14:paraId="6715BA51" w14:textId="77777777" w:rsidR="00A3538C" w:rsidRPr="004D474A" w:rsidRDefault="00A3538C" w:rsidP="00A3538C">
      <w:pPr>
        <w:pStyle w:val="Lijstalinea"/>
        <w:ind w:left="993"/>
        <w:rPr>
          <w:rFonts w:asciiTheme="minorHAnsi" w:hAnsiTheme="minorHAnsi"/>
          <w:lang w:val="en-GB"/>
        </w:rPr>
      </w:pPr>
      <w:r w:rsidRPr="004D474A">
        <w:rPr>
          <w:rFonts w:asciiTheme="minorHAnsi" w:hAnsiTheme="minorHAnsi"/>
          <w:lang w:val="en-GB"/>
        </w:rPr>
        <w:t>Very rare</w:t>
      </w:r>
    </w:p>
    <w:p w14:paraId="47999303" w14:textId="77777777" w:rsidR="00A3538C" w:rsidRPr="004D474A" w:rsidRDefault="00A3538C" w:rsidP="00A3538C">
      <w:pPr>
        <w:pStyle w:val="Lijstalinea"/>
        <w:ind w:left="993"/>
        <w:rPr>
          <w:rFonts w:asciiTheme="minorHAnsi" w:hAnsiTheme="minorHAnsi"/>
          <w:lang w:val="en-GB"/>
        </w:rPr>
      </w:pPr>
      <w:r w:rsidRPr="004D474A">
        <w:rPr>
          <w:rFonts w:asciiTheme="minorHAnsi" w:hAnsiTheme="minorHAnsi"/>
          <w:lang w:val="en-GB"/>
        </w:rPr>
        <w:t>• Lactic acidosis.</w:t>
      </w:r>
    </w:p>
    <w:p w14:paraId="69A9AEE8" w14:textId="77777777" w:rsidR="00A3538C" w:rsidRPr="004D474A" w:rsidRDefault="00A3538C" w:rsidP="00A3538C">
      <w:pPr>
        <w:pStyle w:val="Lijstalinea"/>
        <w:ind w:left="993"/>
        <w:rPr>
          <w:rFonts w:asciiTheme="minorHAnsi" w:hAnsiTheme="minorHAnsi"/>
          <w:lang w:val="en-GB"/>
        </w:rPr>
      </w:pPr>
      <w:r w:rsidRPr="004D474A">
        <w:rPr>
          <w:rFonts w:asciiTheme="minorHAnsi" w:hAnsiTheme="minorHAnsi"/>
          <w:lang w:val="en-GB"/>
        </w:rPr>
        <w:t>• Decrease of vitamin B12 absorption with decrease of serum levels during long-term use of metformin. Consideration of such aetiology is recommended if a patient presents with megaloblastic anaemia.</w:t>
      </w:r>
    </w:p>
    <w:p w14:paraId="2DA7EBCD" w14:textId="77777777" w:rsidR="00A3538C" w:rsidRPr="004D474A" w:rsidRDefault="00A3538C" w:rsidP="00A3538C">
      <w:pPr>
        <w:pStyle w:val="Lijstalinea"/>
        <w:ind w:left="567"/>
        <w:rPr>
          <w:rFonts w:asciiTheme="minorHAnsi" w:hAnsiTheme="minorHAnsi"/>
          <w:b/>
          <w:lang w:val="en-GB"/>
        </w:rPr>
      </w:pPr>
      <w:r w:rsidRPr="004D474A">
        <w:rPr>
          <w:rFonts w:asciiTheme="minorHAnsi" w:hAnsiTheme="minorHAnsi"/>
          <w:b/>
          <w:lang w:val="en-GB"/>
        </w:rPr>
        <w:t>Nervous system disorders</w:t>
      </w:r>
    </w:p>
    <w:p w14:paraId="1E0DD212" w14:textId="77777777" w:rsidR="00A3538C" w:rsidRPr="004D474A" w:rsidRDefault="00A3538C" w:rsidP="00A3538C">
      <w:pPr>
        <w:pStyle w:val="Lijstalinea"/>
        <w:ind w:left="993"/>
        <w:rPr>
          <w:rFonts w:asciiTheme="minorHAnsi" w:hAnsiTheme="minorHAnsi"/>
          <w:lang w:val="en-GB"/>
        </w:rPr>
      </w:pPr>
      <w:r w:rsidRPr="004D474A">
        <w:rPr>
          <w:rFonts w:asciiTheme="minorHAnsi" w:hAnsiTheme="minorHAnsi"/>
          <w:lang w:val="en-GB"/>
        </w:rPr>
        <w:t>Common</w:t>
      </w:r>
    </w:p>
    <w:p w14:paraId="1340B1AB" w14:textId="77777777" w:rsidR="00A3538C" w:rsidRPr="004D474A" w:rsidRDefault="00A3538C" w:rsidP="00A3538C">
      <w:pPr>
        <w:pStyle w:val="Lijstalinea"/>
        <w:ind w:left="993"/>
        <w:rPr>
          <w:rFonts w:asciiTheme="minorHAnsi" w:hAnsiTheme="minorHAnsi"/>
          <w:lang w:val="en-GB"/>
        </w:rPr>
      </w:pPr>
      <w:r w:rsidRPr="004D474A">
        <w:rPr>
          <w:rFonts w:asciiTheme="minorHAnsi" w:hAnsiTheme="minorHAnsi"/>
          <w:lang w:val="en-GB"/>
        </w:rPr>
        <w:t>• Taste disturbance</w:t>
      </w:r>
    </w:p>
    <w:p w14:paraId="33EC9848" w14:textId="77777777" w:rsidR="00A3538C" w:rsidRPr="004D474A" w:rsidRDefault="00A3538C" w:rsidP="00A3538C">
      <w:pPr>
        <w:pStyle w:val="Lijstalinea"/>
        <w:ind w:left="567"/>
        <w:rPr>
          <w:rFonts w:asciiTheme="minorHAnsi" w:hAnsiTheme="minorHAnsi"/>
          <w:b/>
          <w:lang w:val="en-GB"/>
        </w:rPr>
      </w:pPr>
      <w:r w:rsidRPr="004D474A">
        <w:rPr>
          <w:rFonts w:asciiTheme="minorHAnsi" w:hAnsiTheme="minorHAnsi"/>
          <w:b/>
          <w:lang w:val="en-GB"/>
        </w:rPr>
        <w:t>Gastrointestinal disorders</w:t>
      </w:r>
    </w:p>
    <w:p w14:paraId="169ACD9D" w14:textId="77777777" w:rsidR="00A3538C" w:rsidRPr="004D474A" w:rsidRDefault="00A3538C" w:rsidP="00A3538C">
      <w:pPr>
        <w:pStyle w:val="Lijstalinea"/>
        <w:ind w:left="993"/>
        <w:rPr>
          <w:rFonts w:asciiTheme="minorHAnsi" w:hAnsiTheme="minorHAnsi"/>
          <w:lang w:val="en-GB"/>
        </w:rPr>
      </w:pPr>
      <w:r w:rsidRPr="004D474A">
        <w:rPr>
          <w:rFonts w:asciiTheme="minorHAnsi" w:hAnsiTheme="minorHAnsi"/>
          <w:lang w:val="en-GB"/>
        </w:rPr>
        <w:t>Very common</w:t>
      </w:r>
    </w:p>
    <w:p w14:paraId="4BCEB024" w14:textId="77777777" w:rsidR="00A3538C" w:rsidRPr="004D474A" w:rsidRDefault="00A3538C" w:rsidP="00A3538C">
      <w:pPr>
        <w:pStyle w:val="Lijstalinea"/>
        <w:ind w:left="993"/>
        <w:rPr>
          <w:rFonts w:asciiTheme="minorHAnsi" w:hAnsiTheme="minorHAnsi"/>
          <w:lang w:val="en-GB"/>
        </w:rPr>
      </w:pPr>
      <w:r w:rsidRPr="004D474A">
        <w:rPr>
          <w:rFonts w:asciiTheme="minorHAnsi" w:hAnsiTheme="minorHAnsi"/>
          <w:lang w:val="en-GB"/>
        </w:rPr>
        <w:t>• Gastrointestinal disorders such as nausea, vomiting, diarrhoea, abdominal pain and loss of appetite. These undesirable effects occur most frequently during initiation of therapy and resolve spontaneously in most cases. To prevent them, it is recommended that metformin be taken in 2 or 3 daily doses during or after meals. A slow increase of the dose may also improve gastrointestinal tolerability.</w:t>
      </w:r>
    </w:p>
    <w:p w14:paraId="53482015" w14:textId="77777777" w:rsidR="00A3538C" w:rsidRPr="004D474A" w:rsidRDefault="00A3538C" w:rsidP="00A3538C">
      <w:pPr>
        <w:pStyle w:val="Lijstalinea"/>
        <w:ind w:left="567"/>
        <w:rPr>
          <w:rFonts w:asciiTheme="minorHAnsi" w:hAnsiTheme="minorHAnsi"/>
          <w:b/>
          <w:lang w:val="en-GB"/>
        </w:rPr>
      </w:pPr>
      <w:r w:rsidRPr="004D474A">
        <w:rPr>
          <w:rFonts w:asciiTheme="minorHAnsi" w:hAnsiTheme="minorHAnsi"/>
          <w:b/>
          <w:lang w:val="en-GB"/>
        </w:rPr>
        <w:t>Hepatobiliary disorders</w:t>
      </w:r>
    </w:p>
    <w:p w14:paraId="110398A7" w14:textId="77777777" w:rsidR="00A3538C" w:rsidRPr="004D474A" w:rsidRDefault="00A3538C" w:rsidP="00A3538C">
      <w:pPr>
        <w:pStyle w:val="Lijstalinea"/>
        <w:ind w:left="993"/>
        <w:rPr>
          <w:rFonts w:asciiTheme="minorHAnsi" w:hAnsiTheme="minorHAnsi"/>
          <w:lang w:val="en-GB"/>
        </w:rPr>
      </w:pPr>
      <w:r w:rsidRPr="004D474A">
        <w:rPr>
          <w:rFonts w:asciiTheme="minorHAnsi" w:hAnsiTheme="minorHAnsi"/>
          <w:lang w:val="en-GB"/>
        </w:rPr>
        <w:t>Very rare</w:t>
      </w:r>
    </w:p>
    <w:p w14:paraId="5203FC09" w14:textId="77777777" w:rsidR="00A3538C" w:rsidRPr="004D474A" w:rsidRDefault="00A3538C" w:rsidP="00A3538C">
      <w:pPr>
        <w:pStyle w:val="Lijstalinea"/>
        <w:ind w:left="993"/>
        <w:rPr>
          <w:rFonts w:asciiTheme="minorHAnsi" w:hAnsiTheme="minorHAnsi"/>
          <w:lang w:val="en-GB"/>
        </w:rPr>
      </w:pPr>
      <w:r w:rsidRPr="004D474A">
        <w:rPr>
          <w:rFonts w:asciiTheme="minorHAnsi" w:hAnsiTheme="minorHAnsi"/>
          <w:lang w:val="en-GB"/>
        </w:rPr>
        <w:t>• Isolated reports of liver function tests abnormalities or hepatitis resolving upon metformin discontinuation.</w:t>
      </w:r>
    </w:p>
    <w:p w14:paraId="7DE8B60A" w14:textId="77777777" w:rsidR="00A3538C" w:rsidRPr="004D474A" w:rsidRDefault="00A3538C" w:rsidP="00A3538C">
      <w:pPr>
        <w:pStyle w:val="Lijstalinea"/>
        <w:ind w:left="567"/>
        <w:rPr>
          <w:rFonts w:asciiTheme="minorHAnsi" w:hAnsiTheme="minorHAnsi"/>
          <w:b/>
          <w:lang w:val="en-GB"/>
        </w:rPr>
      </w:pPr>
      <w:r w:rsidRPr="004D474A">
        <w:rPr>
          <w:rFonts w:asciiTheme="minorHAnsi" w:hAnsiTheme="minorHAnsi"/>
          <w:b/>
          <w:lang w:val="en-GB"/>
        </w:rPr>
        <w:t>Skin and subcutaneous tissue disorders</w:t>
      </w:r>
    </w:p>
    <w:p w14:paraId="639C967E" w14:textId="77777777" w:rsidR="00A3538C" w:rsidRPr="004D474A" w:rsidRDefault="00A3538C" w:rsidP="00A3538C">
      <w:pPr>
        <w:pStyle w:val="Lijstalinea"/>
        <w:ind w:left="992"/>
        <w:rPr>
          <w:rFonts w:asciiTheme="minorHAnsi" w:hAnsiTheme="minorHAnsi"/>
          <w:lang w:val="en-GB"/>
        </w:rPr>
      </w:pPr>
      <w:r w:rsidRPr="004D474A">
        <w:rPr>
          <w:rFonts w:asciiTheme="minorHAnsi" w:hAnsiTheme="minorHAnsi"/>
          <w:lang w:val="en-GB"/>
        </w:rPr>
        <w:t>Very rare</w:t>
      </w:r>
    </w:p>
    <w:p w14:paraId="0946392B" w14:textId="77777777" w:rsidR="00A3538C" w:rsidRPr="004D474A" w:rsidRDefault="00A3538C" w:rsidP="00A3538C">
      <w:pPr>
        <w:pStyle w:val="Lijstalinea"/>
        <w:ind w:left="992"/>
        <w:rPr>
          <w:rFonts w:asciiTheme="minorHAnsi" w:hAnsiTheme="minorHAnsi"/>
          <w:lang w:val="en-GB"/>
        </w:rPr>
      </w:pPr>
      <w:r w:rsidRPr="004D474A">
        <w:rPr>
          <w:rFonts w:asciiTheme="minorHAnsi" w:hAnsiTheme="minorHAnsi"/>
          <w:lang w:val="en-GB"/>
        </w:rPr>
        <w:t>• Skin reactions such as erythema, pruritus, urticarial</w:t>
      </w:r>
    </w:p>
    <w:p w14:paraId="660BCE7B" w14:textId="77777777" w:rsidR="00A3538C" w:rsidRPr="004D474A" w:rsidRDefault="00A3538C" w:rsidP="00104756">
      <w:pPr>
        <w:pStyle w:val="Lijstalinea"/>
        <w:ind w:left="567" w:hanging="851"/>
        <w:rPr>
          <w:rFonts w:asciiTheme="minorHAnsi" w:hAnsiTheme="minorHAnsi"/>
          <w:lang w:val="en-GB"/>
        </w:rPr>
      </w:pPr>
    </w:p>
    <w:p w14:paraId="6DFD36CC" w14:textId="77777777" w:rsidR="00AE30FE" w:rsidRPr="004D474A" w:rsidRDefault="00AE30FE" w:rsidP="00F83631">
      <w:pPr>
        <w:pStyle w:val="Lijstalinea"/>
        <w:numPr>
          <w:ilvl w:val="1"/>
          <w:numId w:val="29"/>
        </w:numPr>
        <w:ind w:left="567" w:hanging="851"/>
        <w:rPr>
          <w:rFonts w:asciiTheme="minorHAnsi" w:hAnsiTheme="minorHAnsi"/>
          <w:b/>
          <w:lang w:val="en-GB"/>
        </w:rPr>
      </w:pPr>
      <w:r w:rsidRPr="004D474A">
        <w:rPr>
          <w:rFonts w:asciiTheme="minorHAnsi" w:hAnsiTheme="minorHAnsi"/>
          <w:b/>
          <w:lang w:val="en-GB"/>
        </w:rPr>
        <w:t>Overdose</w:t>
      </w:r>
    </w:p>
    <w:p w14:paraId="262C2274" w14:textId="77777777" w:rsidR="00A3538C" w:rsidRPr="004D474A" w:rsidRDefault="00A3538C" w:rsidP="00A3538C">
      <w:pPr>
        <w:pStyle w:val="Lijstalinea"/>
        <w:ind w:left="567"/>
        <w:rPr>
          <w:rFonts w:asciiTheme="minorHAnsi" w:hAnsiTheme="minorHAnsi"/>
          <w:lang w:val="en-GB"/>
        </w:rPr>
      </w:pPr>
      <w:r w:rsidRPr="004D474A">
        <w:rPr>
          <w:rFonts w:asciiTheme="minorHAnsi" w:hAnsiTheme="minorHAnsi"/>
          <w:lang w:val="en-GB"/>
        </w:rPr>
        <w:t>Hypoglycaemia has not been seen with metformin hydrochloride doses of up to 85 g, although lactic acidosis has occurred in such circumstances. High overdose of metformin or concomitant risks may lead to lactic acidosis. Lactic acidosis is a medical emergency and must be treated in hospital. The most effective method to remove lactate and metformin is haemodialysis.</w:t>
      </w:r>
    </w:p>
    <w:p w14:paraId="063276D0" w14:textId="21FBA871" w:rsidR="00F572F3" w:rsidRDefault="00F572F3">
      <w:pPr>
        <w:spacing w:after="0" w:line="240" w:lineRule="auto"/>
        <w:rPr>
          <w:rFonts w:asciiTheme="minorHAnsi" w:eastAsia="Times New Roman" w:hAnsiTheme="minorHAnsi"/>
          <w:lang w:val="en-GB"/>
        </w:rPr>
      </w:pPr>
      <w:r>
        <w:rPr>
          <w:rFonts w:asciiTheme="minorHAnsi" w:hAnsiTheme="minorHAnsi"/>
          <w:lang w:val="en-GB"/>
        </w:rPr>
        <w:br w:type="page"/>
      </w:r>
    </w:p>
    <w:p w14:paraId="4E79BF0E" w14:textId="77777777" w:rsidR="00A3538C" w:rsidRPr="004D474A" w:rsidRDefault="00A3538C" w:rsidP="00060D28">
      <w:pPr>
        <w:pStyle w:val="Lijstalinea"/>
        <w:ind w:left="0"/>
        <w:rPr>
          <w:rFonts w:asciiTheme="minorHAnsi" w:hAnsiTheme="minorHAnsi"/>
          <w:lang w:val="en-GB"/>
        </w:rPr>
      </w:pPr>
    </w:p>
    <w:p w14:paraId="6C6FD365" w14:textId="4E292DD5" w:rsidR="00DB2697" w:rsidRPr="00DB2697" w:rsidRDefault="00AE30FE" w:rsidP="00DB2697">
      <w:pPr>
        <w:pStyle w:val="Lijstalinea"/>
        <w:numPr>
          <w:ilvl w:val="0"/>
          <w:numId w:val="12"/>
        </w:numPr>
        <w:rPr>
          <w:rFonts w:asciiTheme="minorHAnsi" w:hAnsiTheme="minorHAnsi"/>
          <w:b/>
          <w:lang w:val="en-GB"/>
        </w:rPr>
      </w:pPr>
      <w:r w:rsidRPr="00DB2697">
        <w:rPr>
          <w:rFonts w:asciiTheme="minorHAnsi" w:hAnsiTheme="minorHAnsi"/>
          <w:b/>
          <w:lang w:val="en-GB"/>
        </w:rPr>
        <w:t>PHARMACOLOGICAL PROPERTIES</w:t>
      </w:r>
    </w:p>
    <w:p w14:paraId="0034ED28" w14:textId="28CCDA6A" w:rsidR="00AE30FE" w:rsidRPr="00DB2697" w:rsidRDefault="00DB2697" w:rsidP="00DB2697">
      <w:pPr>
        <w:rPr>
          <w:rFonts w:asciiTheme="minorHAnsi" w:hAnsiTheme="minorHAnsi"/>
          <w:b/>
          <w:lang w:val="en-GB"/>
        </w:rPr>
      </w:pPr>
      <w:r>
        <w:rPr>
          <w:rFonts w:asciiTheme="minorHAnsi" w:hAnsiTheme="minorHAnsi"/>
          <w:b/>
          <w:lang w:val="en-GB"/>
        </w:rPr>
        <w:t>5.1</w:t>
      </w:r>
      <w:r>
        <w:rPr>
          <w:rFonts w:asciiTheme="minorHAnsi" w:hAnsiTheme="minorHAnsi"/>
          <w:b/>
          <w:lang w:val="en-GB"/>
        </w:rPr>
        <w:tab/>
      </w:r>
      <w:r w:rsidR="00AE30FE" w:rsidRPr="00DB2697">
        <w:rPr>
          <w:rFonts w:asciiTheme="minorHAnsi" w:hAnsiTheme="minorHAnsi"/>
          <w:b/>
          <w:lang w:val="en-GB"/>
        </w:rPr>
        <w:t>Pharmacodynamic properties</w:t>
      </w:r>
    </w:p>
    <w:p w14:paraId="45C2694C" w14:textId="77777777" w:rsidR="006B062C" w:rsidRPr="004D474A" w:rsidRDefault="006B062C" w:rsidP="006B062C">
      <w:pPr>
        <w:pStyle w:val="Lijstalinea"/>
        <w:ind w:left="567"/>
        <w:rPr>
          <w:rFonts w:asciiTheme="minorHAnsi" w:hAnsiTheme="minorHAnsi"/>
          <w:lang w:val="en-GB"/>
        </w:rPr>
      </w:pPr>
      <w:r w:rsidRPr="004D474A">
        <w:rPr>
          <w:rFonts w:asciiTheme="minorHAnsi" w:hAnsiTheme="minorHAnsi"/>
          <w:lang w:val="en-GB"/>
        </w:rPr>
        <w:t>Pharmacotherapeutic group Blood lowering dr</w:t>
      </w:r>
      <w:r w:rsidR="004D474A">
        <w:rPr>
          <w:rFonts w:asciiTheme="minorHAnsi" w:hAnsiTheme="minorHAnsi"/>
          <w:lang w:val="en-GB"/>
        </w:rPr>
        <w:t>u</w:t>
      </w:r>
      <w:r w:rsidRPr="004D474A">
        <w:rPr>
          <w:rFonts w:asciiTheme="minorHAnsi" w:hAnsiTheme="minorHAnsi"/>
          <w:lang w:val="en-GB"/>
        </w:rPr>
        <w:t>gs, Biguanides</w:t>
      </w:r>
    </w:p>
    <w:p w14:paraId="4E4E6BE1" w14:textId="77777777" w:rsidR="006B062C" w:rsidRPr="004D474A" w:rsidRDefault="006B062C" w:rsidP="006B062C">
      <w:pPr>
        <w:pStyle w:val="Lijstalinea"/>
        <w:ind w:left="567"/>
        <w:rPr>
          <w:rFonts w:asciiTheme="minorHAnsi" w:hAnsiTheme="minorHAnsi"/>
          <w:lang w:val="en-GB"/>
        </w:rPr>
      </w:pPr>
      <w:r w:rsidRPr="004D474A">
        <w:rPr>
          <w:rFonts w:asciiTheme="minorHAnsi" w:hAnsiTheme="minorHAnsi"/>
          <w:lang w:val="en-GB"/>
        </w:rPr>
        <w:t xml:space="preserve">ATC code: </w:t>
      </w:r>
      <w:r w:rsidRPr="00DB2697">
        <w:rPr>
          <w:rFonts w:asciiTheme="minorHAnsi" w:hAnsiTheme="minorHAnsi"/>
          <w:b/>
          <w:bCs/>
          <w:lang w:val="en-GB"/>
        </w:rPr>
        <w:t>A10BA02</w:t>
      </w:r>
    </w:p>
    <w:p w14:paraId="318D7B25" w14:textId="77777777" w:rsidR="006B062C" w:rsidRPr="004D474A" w:rsidRDefault="006B062C" w:rsidP="006B062C">
      <w:pPr>
        <w:pStyle w:val="Lijstalinea"/>
        <w:ind w:left="567"/>
        <w:rPr>
          <w:rFonts w:asciiTheme="minorHAnsi" w:hAnsiTheme="minorHAnsi"/>
          <w:lang w:val="en-GB"/>
        </w:rPr>
      </w:pPr>
    </w:p>
    <w:p w14:paraId="1BB9FD34" w14:textId="77777777" w:rsidR="006B062C" w:rsidRPr="004D474A" w:rsidRDefault="006B062C" w:rsidP="006B062C">
      <w:pPr>
        <w:pStyle w:val="Lijstalinea"/>
        <w:ind w:left="567"/>
        <w:rPr>
          <w:rFonts w:asciiTheme="minorHAnsi" w:hAnsiTheme="minorHAnsi"/>
          <w:b/>
          <w:lang w:val="en-GB"/>
        </w:rPr>
      </w:pPr>
      <w:r w:rsidRPr="004D474A">
        <w:rPr>
          <w:rFonts w:asciiTheme="minorHAnsi" w:hAnsiTheme="minorHAnsi"/>
          <w:b/>
          <w:lang w:val="en-GB"/>
        </w:rPr>
        <w:t>Mechanism of action</w:t>
      </w:r>
    </w:p>
    <w:p w14:paraId="493387A9" w14:textId="77777777" w:rsidR="006B062C" w:rsidRPr="004D474A" w:rsidRDefault="006B062C" w:rsidP="006B062C">
      <w:pPr>
        <w:pStyle w:val="Lijstalinea"/>
        <w:numPr>
          <w:ilvl w:val="0"/>
          <w:numId w:val="17"/>
        </w:numPr>
        <w:ind w:left="851"/>
        <w:rPr>
          <w:rFonts w:asciiTheme="minorHAnsi" w:hAnsiTheme="minorHAnsi"/>
          <w:lang w:val="en-GB"/>
        </w:rPr>
      </w:pPr>
      <w:r w:rsidRPr="004D474A">
        <w:rPr>
          <w:rFonts w:asciiTheme="minorHAnsi" w:hAnsiTheme="minorHAnsi"/>
          <w:lang w:val="en-GB"/>
        </w:rPr>
        <w:t xml:space="preserve">Metformin is a biguanide with </w:t>
      </w:r>
      <w:proofErr w:type="spellStart"/>
      <w:r w:rsidRPr="004D474A">
        <w:rPr>
          <w:rFonts w:asciiTheme="minorHAnsi" w:hAnsiTheme="minorHAnsi"/>
          <w:lang w:val="en-GB"/>
        </w:rPr>
        <w:t>antihyperglycaemic</w:t>
      </w:r>
      <w:proofErr w:type="spellEnd"/>
      <w:r w:rsidRPr="004D474A">
        <w:rPr>
          <w:rFonts w:asciiTheme="minorHAnsi" w:hAnsiTheme="minorHAnsi"/>
          <w:lang w:val="en-GB"/>
        </w:rPr>
        <w:t xml:space="preserve"> effects, lowering both basal and postprandial plasma glucose. It does not stimulate insulin secretion and therefore does not produce </w:t>
      </w:r>
      <w:r w:rsidR="004D474A" w:rsidRPr="004D474A">
        <w:rPr>
          <w:rFonts w:asciiTheme="minorHAnsi" w:hAnsiTheme="minorHAnsi"/>
          <w:lang w:val="en-GB"/>
        </w:rPr>
        <w:t>hypoglyc</w:t>
      </w:r>
      <w:r w:rsidR="004D474A">
        <w:rPr>
          <w:rFonts w:asciiTheme="minorHAnsi" w:hAnsiTheme="minorHAnsi"/>
          <w:lang w:val="en-GB"/>
        </w:rPr>
        <w:t>a</w:t>
      </w:r>
      <w:r w:rsidR="004D474A" w:rsidRPr="004D474A">
        <w:rPr>
          <w:rFonts w:asciiTheme="minorHAnsi" w:hAnsiTheme="minorHAnsi"/>
          <w:lang w:val="en-GB"/>
        </w:rPr>
        <w:t>emia</w:t>
      </w:r>
      <w:r w:rsidRPr="004D474A">
        <w:rPr>
          <w:rFonts w:asciiTheme="minorHAnsi" w:hAnsiTheme="minorHAnsi"/>
          <w:lang w:val="en-GB"/>
        </w:rPr>
        <w:t>.</w:t>
      </w:r>
    </w:p>
    <w:p w14:paraId="58E83B14" w14:textId="77777777" w:rsidR="006B062C" w:rsidRPr="004D474A" w:rsidRDefault="006B062C" w:rsidP="006B062C">
      <w:pPr>
        <w:pStyle w:val="Lijstalinea"/>
        <w:numPr>
          <w:ilvl w:val="0"/>
          <w:numId w:val="17"/>
        </w:numPr>
        <w:ind w:left="851"/>
        <w:rPr>
          <w:rFonts w:asciiTheme="minorHAnsi" w:hAnsiTheme="minorHAnsi"/>
          <w:lang w:val="en-GB"/>
        </w:rPr>
      </w:pPr>
      <w:r w:rsidRPr="004D474A">
        <w:rPr>
          <w:rFonts w:asciiTheme="minorHAnsi" w:hAnsiTheme="minorHAnsi"/>
          <w:lang w:val="en-GB"/>
        </w:rPr>
        <w:t>Metformin may act via 3 mechanisms:</w:t>
      </w:r>
    </w:p>
    <w:p w14:paraId="602F628D" w14:textId="77777777" w:rsidR="006B062C" w:rsidRPr="004D474A" w:rsidRDefault="006B062C" w:rsidP="006B062C">
      <w:pPr>
        <w:pStyle w:val="Lijstalinea"/>
        <w:numPr>
          <w:ilvl w:val="0"/>
          <w:numId w:val="17"/>
        </w:numPr>
        <w:ind w:left="1276"/>
        <w:rPr>
          <w:rFonts w:asciiTheme="minorHAnsi" w:hAnsiTheme="minorHAnsi"/>
          <w:lang w:val="en-GB"/>
        </w:rPr>
      </w:pPr>
      <w:r w:rsidRPr="004D474A">
        <w:rPr>
          <w:rFonts w:asciiTheme="minorHAnsi" w:hAnsiTheme="minorHAnsi"/>
          <w:lang w:val="en-GB"/>
        </w:rPr>
        <w:t>reduction of hepatic glucose production by inhibiting gluconeogenesis and glycogenolysis.</w:t>
      </w:r>
    </w:p>
    <w:p w14:paraId="14E4B7D5" w14:textId="77777777" w:rsidR="006B062C" w:rsidRPr="004D474A" w:rsidRDefault="006B062C" w:rsidP="006B062C">
      <w:pPr>
        <w:pStyle w:val="Lijstalinea"/>
        <w:numPr>
          <w:ilvl w:val="0"/>
          <w:numId w:val="17"/>
        </w:numPr>
        <w:ind w:left="1276"/>
        <w:rPr>
          <w:rFonts w:asciiTheme="minorHAnsi" w:hAnsiTheme="minorHAnsi"/>
          <w:lang w:val="en-GB"/>
        </w:rPr>
      </w:pPr>
      <w:r w:rsidRPr="004D474A">
        <w:rPr>
          <w:rFonts w:asciiTheme="minorHAnsi" w:hAnsiTheme="minorHAnsi"/>
          <w:lang w:val="en-GB"/>
        </w:rPr>
        <w:t>in muscle, by increasing insulin sensitivity, improving peripheral glucose uptake and utilization.</w:t>
      </w:r>
    </w:p>
    <w:p w14:paraId="256D1C7B" w14:textId="77777777" w:rsidR="006B062C" w:rsidRPr="004D474A" w:rsidRDefault="006B062C" w:rsidP="006B062C">
      <w:pPr>
        <w:pStyle w:val="Lijstalinea"/>
        <w:numPr>
          <w:ilvl w:val="0"/>
          <w:numId w:val="17"/>
        </w:numPr>
        <w:ind w:left="1276"/>
        <w:rPr>
          <w:rFonts w:asciiTheme="minorHAnsi" w:hAnsiTheme="minorHAnsi"/>
          <w:lang w:val="en-GB"/>
        </w:rPr>
      </w:pPr>
      <w:r w:rsidRPr="004D474A">
        <w:rPr>
          <w:rFonts w:asciiTheme="minorHAnsi" w:hAnsiTheme="minorHAnsi"/>
          <w:lang w:val="en-GB"/>
        </w:rPr>
        <w:t>and delay of intestinal glucose absorption.</w:t>
      </w:r>
    </w:p>
    <w:p w14:paraId="65EA53B4" w14:textId="77777777" w:rsidR="006B062C" w:rsidRPr="004D474A" w:rsidRDefault="006B062C" w:rsidP="006B062C">
      <w:pPr>
        <w:pStyle w:val="Lijstalinea"/>
        <w:numPr>
          <w:ilvl w:val="0"/>
          <w:numId w:val="17"/>
        </w:numPr>
        <w:ind w:left="851"/>
        <w:rPr>
          <w:rFonts w:asciiTheme="minorHAnsi" w:hAnsiTheme="minorHAnsi"/>
          <w:lang w:val="en-GB"/>
        </w:rPr>
      </w:pPr>
      <w:r w:rsidRPr="004D474A">
        <w:rPr>
          <w:rFonts w:asciiTheme="minorHAnsi" w:hAnsiTheme="minorHAnsi"/>
          <w:lang w:val="en-GB"/>
        </w:rPr>
        <w:t>Metformin stimulates intracellular glycogen synthesis by acting on glycogen synthase. Metformin increases the transport capacity of all types of membrane glucose transporters (GLUTs) known to date.</w:t>
      </w:r>
    </w:p>
    <w:p w14:paraId="699A02FE" w14:textId="77777777" w:rsidR="006B062C" w:rsidRPr="004D474A" w:rsidRDefault="006B062C" w:rsidP="006B062C">
      <w:pPr>
        <w:pStyle w:val="Lijstalinea"/>
        <w:ind w:left="567"/>
        <w:rPr>
          <w:rFonts w:asciiTheme="minorHAnsi" w:hAnsiTheme="minorHAnsi"/>
          <w:b/>
          <w:lang w:val="en-GB"/>
        </w:rPr>
      </w:pPr>
    </w:p>
    <w:p w14:paraId="5471CBF9" w14:textId="77777777" w:rsidR="006B062C" w:rsidRPr="004D474A" w:rsidRDefault="006B062C" w:rsidP="006B062C">
      <w:pPr>
        <w:pStyle w:val="Lijstalinea"/>
        <w:ind w:left="567"/>
        <w:rPr>
          <w:rFonts w:asciiTheme="minorHAnsi" w:hAnsiTheme="minorHAnsi"/>
          <w:b/>
          <w:lang w:val="en-GB"/>
        </w:rPr>
      </w:pPr>
      <w:r w:rsidRPr="004D474A">
        <w:rPr>
          <w:rFonts w:asciiTheme="minorHAnsi" w:hAnsiTheme="minorHAnsi"/>
          <w:b/>
          <w:lang w:val="en-GB"/>
        </w:rPr>
        <w:t>Pharmacodynamic effects</w:t>
      </w:r>
    </w:p>
    <w:p w14:paraId="2CAAF968" w14:textId="77777777" w:rsidR="006B062C" w:rsidRPr="004D474A" w:rsidRDefault="006B062C" w:rsidP="006B062C">
      <w:pPr>
        <w:pStyle w:val="Lijstalinea"/>
        <w:numPr>
          <w:ilvl w:val="0"/>
          <w:numId w:val="17"/>
        </w:numPr>
        <w:ind w:left="851"/>
        <w:rPr>
          <w:rFonts w:asciiTheme="minorHAnsi" w:hAnsiTheme="minorHAnsi"/>
          <w:lang w:val="en-GB"/>
        </w:rPr>
      </w:pPr>
      <w:r w:rsidRPr="004D474A">
        <w:rPr>
          <w:rFonts w:asciiTheme="minorHAnsi" w:hAnsiTheme="minorHAnsi"/>
          <w:lang w:val="en-GB"/>
        </w:rPr>
        <w:t xml:space="preserve">In clinical studies, use of metformin was associated with either a stable body weight or modest weight loss. In humans, independently of its action on glycaemia, metformin has </w:t>
      </w:r>
      <w:r w:rsidR="004D474A" w:rsidRPr="004D474A">
        <w:rPr>
          <w:rFonts w:asciiTheme="minorHAnsi" w:hAnsiTheme="minorHAnsi"/>
          <w:lang w:val="en-GB"/>
        </w:rPr>
        <w:t>favourable</w:t>
      </w:r>
      <w:r w:rsidRPr="004D474A">
        <w:rPr>
          <w:rFonts w:asciiTheme="minorHAnsi" w:hAnsiTheme="minorHAnsi"/>
          <w:lang w:val="en-GB"/>
        </w:rPr>
        <w:t xml:space="preserve"> effects on lipid metabolism. </w:t>
      </w:r>
    </w:p>
    <w:p w14:paraId="362EDE7A" w14:textId="77777777" w:rsidR="006B062C" w:rsidRPr="004D474A" w:rsidRDefault="006B062C" w:rsidP="006B062C">
      <w:pPr>
        <w:pStyle w:val="Lijstalinea"/>
        <w:numPr>
          <w:ilvl w:val="0"/>
          <w:numId w:val="17"/>
        </w:numPr>
        <w:ind w:left="851"/>
        <w:rPr>
          <w:rFonts w:asciiTheme="minorHAnsi" w:hAnsiTheme="minorHAnsi"/>
          <w:lang w:val="en-GB"/>
        </w:rPr>
      </w:pPr>
      <w:r w:rsidRPr="004D474A">
        <w:rPr>
          <w:rFonts w:asciiTheme="minorHAnsi" w:hAnsiTheme="minorHAnsi"/>
          <w:lang w:val="en-GB"/>
        </w:rPr>
        <w:t>This has been shown at therapeutic doses in controlled, medium-term or long-term clinical studies: metformin reduces total cholesterol, LDL cholesterol and triglyceride levels.</w:t>
      </w:r>
    </w:p>
    <w:p w14:paraId="3F19C40A" w14:textId="77777777" w:rsidR="006B062C" w:rsidRPr="004D474A" w:rsidRDefault="006B062C" w:rsidP="006B062C">
      <w:pPr>
        <w:pStyle w:val="Lijstalinea"/>
        <w:rPr>
          <w:rFonts w:asciiTheme="minorHAnsi" w:hAnsiTheme="minorHAnsi"/>
          <w:b/>
          <w:lang w:val="en-GB"/>
        </w:rPr>
      </w:pPr>
    </w:p>
    <w:p w14:paraId="5A8285AE" w14:textId="77777777" w:rsidR="006B062C" w:rsidRPr="004D474A" w:rsidRDefault="006B062C" w:rsidP="00E65869">
      <w:pPr>
        <w:pStyle w:val="Lijstalinea"/>
        <w:ind w:left="567"/>
        <w:rPr>
          <w:rFonts w:asciiTheme="minorHAnsi" w:hAnsiTheme="minorHAnsi"/>
          <w:b/>
          <w:lang w:val="en-GB"/>
        </w:rPr>
      </w:pPr>
      <w:r w:rsidRPr="004D474A">
        <w:rPr>
          <w:rFonts w:asciiTheme="minorHAnsi" w:hAnsiTheme="minorHAnsi"/>
          <w:b/>
          <w:lang w:val="en-GB"/>
        </w:rPr>
        <w:t>Clinical efficacy</w:t>
      </w:r>
    </w:p>
    <w:p w14:paraId="5C4F3A14" w14:textId="77777777" w:rsidR="006B062C" w:rsidRPr="004D474A" w:rsidRDefault="006B062C" w:rsidP="006B062C">
      <w:pPr>
        <w:pStyle w:val="Lijstalinea"/>
        <w:numPr>
          <w:ilvl w:val="0"/>
          <w:numId w:val="17"/>
        </w:numPr>
        <w:ind w:left="851"/>
        <w:rPr>
          <w:rFonts w:asciiTheme="minorHAnsi" w:hAnsiTheme="minorHAnsi"/>
          <w:lang w:val="en-GB"/>
        </w:rPr>
      </w:pPr>
      <w:r w:rsidRPr="004D474A">
        <w:rPr>
          <w:rFonts w:asciiTheme="minorHAnsi" w:hAnsiTheme="minorHAnsi"/>
          <w:lang w:val="en-GB"/>
        </w:rPr>
        <w:t xml:space="preserve">The prospective </w:t>
      </w:r>
      <w:r w:rsidR="004D474A" w:rsidRPr="004D474A">
        <w:rPr>
          <w:rFonts w:asciiTheme="minorHAnsi" w:hAnsiTheme="minorHAnsi"/>
          <w:lang w:val="en-GB"/>
        </w:rPr>
        <w:t>randomized</w:t>
      </w:r>
      <w:r w:rsidRPr="004D474A">
        <w:rPr>
          <w:rFonts w:asciiTheme="minorHAnsi" w:hAnsiTheme="minorHAnsi"/>
          <w:lang w:val="en-GB"/>
        </w:rPr>
        <w:t xml:space="preserve"> study (UKPDS) has established the long-term benefit of intensive blood glucose control in adult patients with type 2 diabetes.</w:t>
      </w:r>
    </w:p>
    <w:p w14:paraId="6673F13F" w14:textId="77777777" w:rsidR="006B062C" w:rsidRPr="004D474A" w:rsidRDefault="006B062C" w:rsidP="006B062C">
      <w:pPr>
        <w:pStyle w:val="Lijstalinea"/>
        <w:numPr>
          <w:ilvl w:val="0"/>
          <w:numId w:val="17"/>
        </w:numPr>
        <w:ind w:left="851"/>
        <w:rPr>
          <w:rFonts w:asciiTheme="minorHAnsi" w:hAnsiTheme="minorHAnsi"/>
          <w:lang w:val="en-GB"/>
        </w:rPr>
      </w:pPr>
      <w:r w:rsidRPr="004D474A">
        <w:rPr>
          <w:rFonts w:asciiTheme="minorHAnsi" w:hAnsiTheme="minorHAnsi"/>
          <w:lang w:val="en-GB"/>
        </w:rPr>
        <w:t>Analysis of the results for overweight patients treated with metformin after failure of diet alone showed:</w:t>
      </w:r>
    </w:p>
    <w:p w14:paraId="08FAF1E1" w14:textId="77777777" w:rsidR="006B062C" w:rsidRPr="004D474A" w:rsidRDefault="006B062C" w:rsidP="00E65869">
      <w:pPr>
        <w:pStyle w:val="Lijstalinea"/>
        <w:numPr>
          <w:ilvl w:val="0"/>
          <w:numId w:val="17"/>
        </w:numPr>
        <w:ind w:left="1276"/>
        <w:rPr>
          <w:rFonts w:asciiTheme="minorHAnsi" w:hAnsiTheme="minorHAnsi"/>
          <w:lang w:val="en-GB"/>
        </w:rPr>
      </w:pPr>
      <w:r w:rsidRPr="004D474A">
        <w:rPr>
          <w:rFonts w:asciiTheme="minorHAnsi" w:hAnsiTheme="minorHAnsi"/>
          <w:lang w:val="en-GB"/>
        </w:rPr>
        <w:t>a significant reduction of the absolute risk of any diabetes-related complication in the metformin group (29.8 events/1000 patient-years) versus diet alone (43.3 events/1000 patient-years), p=0.0023, and versus the combined sulfonylurea and insulin monotherapy groups (40.1 events/1000 patient-years), p=0.0034;</w:t>
      </w:r>
    </w:p>
    <w:p w14:paraId="1E1DFF1C" w14:textId="77777777" w:rsidR="006B062C" w:rsidRPr="004D474A" w:rsidRDefault="006B062C" w:rsidP="00E65869">
      <w:pPr>
        <w:pStyle w:val="Lijstalinea"/>
        <w:numPr>
          <w:ilvl w:val="0"/>
          <w:numId w:val="17"/>
        </w:numPr>
        <w:ind w:left="1276"/>
        <w:rPr>
          <w:rFonts w:asciiTheme="minorHAnsi" w:hAnsiTheme="minorHAnsi"/>
          <w:lang w:val="en-GB"/>
        </w:rPr>
      </w:pPr>
      <w:r w:rsidRPr="004D474A">
        <w:rPr>
          <w:rFonts w:asciiTheme="minorHAnsi" w:hAnsiTheme="minorHAnsi"/>
          <w:lang w:val="en-GB"/>
        </w:rPr>
        <w:t>a significant reduction of the absolute risk of diabetes-related mortality: metformin 7.5 events/1000 patient-years, diet alone 12.7 events/1000 patient-years, p=0.017;</w:t>
      </w:r>
    </w:p>
    <w:p w14:paraId="7FD09BC0" w14:textId="77777777" w:rsidR="006B062C" w:rsidRPr="004D474A" w:rsidRDefault="006B062C" w:rsidP="00E65869">
      <w:pPr>
        <w:pStyle w:val="Lijstalinea"/>
        <w:numPr>
          <w:ilvl w:val="0"/>
          <w:numId w:val="17"/>
        </w:numPr>
        <w:ind w:left="1276"/>
        <w:rPr>
          <w:rFonts w:asciiTheme="minorHAnsi" w:hAnsiTheme="minorHAnsi"/>
          <w:lang w:val="en-GB"/>
        </w:rPr>
      </w:pPr>
      <w:r w:rsidRPr="004D474A">
        <w:rPr>
          <w:rFonts w:asciiTheme="minorHAnsi" w:hAnsiTheme="minorHAnsi"/>
          <w:lang w:val="en-GB"/>
        </w:rPr>
        <w:t>a significant reduction of the absolute risk of overall mortality: metformin 13.5 events/1000 patient-years versus diet alone 20.6 events/1000 patient-years (p=0.011), and versus the combined sulfonylurea and insulin monotherapy groups</w:t>
      </w:r>
    </w:p>
    <w:p w14:paraId="00F41901" w14:textId="77777777" w:rsidR="006B062C" w:rsidRPr="004D474A" w:rsidRDefault="006B062C" w:rsidP="00E65869">
      <w:pPr>
        <w:pStyle w:val="Lijstalinea"/>
        <w:numPr>
          <w:ilvl w:val="0"/>
          <w:numId w:val="17"/>
        </w:numPr>
        <w:ind w:left="1276"/>
        <w:rPr>
          <w:rFonts w:asciiTheme="minorHAnsi" w:hAnsiTheme="minorHAnsi"/>
          <w:lang w:val="en-GB"/>
        </w:rPr>
      </w:pPr>
      <w:r w:rsidRPr="004D474A">
        <w:rPr>
          <w:rFonts w:asciiTheme="minorHAnsi" w:hAnsiTheme="minorHAnsi"/>
          <w:lang w:val="en-GB"/>
        </w:rPr>
        <w:t>18.9 events/1000 patient-years (p=0.021);</w:t>
      </w:r>
    </w:p>
    <w:p w14:paraId="2F6FDF68" w14:textId="77777777" w:rsidR="006B062C" w:rsidRPr="004D474A" w:rsidRDefault="006B062C" w:rsidP="00E65869">
      <w:pPr>
        <w:pStyle w:val="Lijstalinea"/>
        <w:numPr>
          <w:ilvl w:val="0"/>
          <w:numId w:val="17"/>
        </w:numPr>
        <w:ind w:left="1276"/>
        <w:rPr>
          <w:rFonts w:asciiTheme="minorHAnsi" w:hAnsiTheme="minorHAnsi"/>
          <w:lang w:val="en-GB"/>
        </w:rPr>
      </w:pPr>
      <w:r w:rsidRPr="004D474A">
        <w:rPr>
          <w:rFonts w:asciiTheme="minorHAnsi" w:hAnsiTheme="minorHAnsi"/>
          <w:lang w:val="en-GB"/>
        </w:rPr>
        <w:t>a significant reduction in the absolute risk of myocardial infarction: metformin 11 events/1000 patient-years, diet alone 18 events/1000 patient-years (p=0.01).</w:t>
      </w:r>
    </w:p>
    <w:p w14:paraId="71DA5A6B" w14:textId="77777777" w:rsidR="00E65869" w:rsidRDefault="00E65869" w:rsidP="00E65869">
      <w:pPr>
        <w:pStyle w:val="Lijstalinea"/>
        <w:ind w:left="851"/>
        <w:rPr>
          <w:rFonts w:asciiTheme="minorHAnsi" w:hAnsiTheme="minorHAnsi"/>
          <w:lang w:val="en-GB"/>
        </w:rPr>
      </w:pPr>
    </w:p>
    <w:p w14:paraId="60CBA4B5" w14:textId="77777777" w:rsidR="006B062C" w:rsidRPr="004D474A" w:rsidRDefault="006B062C" w:rsidP="00E65869">
      <w:pPr>
        <w:pStyle w:val="Lijstalinea"/>
        <w:ind w:left="851"/>
        <w:rPr>
          <w:rFonts w:asciiTheme="minorHAnsi" w:hAnsiTheme="minorHAnsi"/>
          <w:lang w:val="en-GB"/>
        </w:rPr>
      </w:pPr>
      <w:r w:rsidRPr="004D474A">
        <w:rPr>
          <w:rFonts w:asciiTheme="minorHAnsi" w:hAnsiTheme="minorHAnsi"/>
          <w:lang w:val="en-GB"/>
        </w:rPr>
        <w:t>Benefit regarding clinical outcome has not been shown for metformin used as second-line therapy, in combination with a sulfonylurea.</w:t>
      </w:r>
      <w:r w:rsidR="00E65869">
        <w:rPr>
          <w:rFonts w:asciiTheme="minorHAnsi" w:hAnsiTheme="minorHAnsi"/>
          <w:lang w:val="en-GB"/>
        </w:rPr>
        <w:t xml:space="preserve"> </w:t>
      </w:r>
      <w:r w:rsidRPr="004D474A">
        <w:rPr>
          <w:rFonts w:asciiTheme="minorHAnsi" w:hAnsiTheme="minorHAnsi"/>
          <w:lang w:val="en-GB"/>
        </w:rPr>
        <w:t>In type 1 diabetes, the combination of metformin and insulin has been used in selected patients, but the clinical benefit of this combination has not been formally established.</w:t>
      </w:r>
    </w:p>
    <w:p w14:paraId="7F7A9049" w14:textId="77777777" w:rsidR="006B062C" w:rsidRPr="00E65869" w:rsidRDefault="006B062C" w:rsidP="00E65869">
      <w:pPr>
        <w:pStyle w:val="Lijstalinea"/>
        <w:ind w:left="851"/>
        <w:rPr>
          <w:rFonts w:asciiTheme="minorHAnsi" w:hAnsiTheme="minorHAnsi"/>
          <w:lang w:val="en-GB"/>
        </w:rPr>
      </w:pPr>
    </w:p>
    <w:p w14:paraId="1BFE4D3D" w14:textId="77777777" w:rsidR="006B062C" w:rsidRPr="004D474A" w:rsidRDefault="004D474A" w:rsidP="006B062C">
      <w:pPr>
        <w:pStyle w:val="Lijstalinea"/>
        <w:ind w:left="567"/>
        <w:rPr>
          <w:rFonts w:asciiTheme="minorHAnsi" w:hAnsiTheme="minorHAnsi"/>
          <w:b/>
          <w:lang w:val="en-GB"/>
        </w:rPr>
      </w:pPr>
      <w:r w:rsidRPr="004D474A">
        <w:rPr>
          <w:rFonts w:asciiTheme="minorHAnsi" w:hAnsiTheme="minorHAnsi"/>
          <w:b/>
          <w:lang w:val="en-GB"/>
        </w:rPr>
        <w:t>Paediatric</w:t>
      </w:r>
      <w:r w:rsidR="006B062C" w:rsidRPr="004D474A">
        <w:rPr>
          <w:rFonts w:asciiTheme="minorHAnsi" w:hAnsiTheme="minorHAnsi"/>
          <w:b/>
          <w:lang w:val="en-GB"/>
        </w:rPr>
        <w:t xml:space="preserve"> population</w:t>
      </w:r>
    </w:p>
    <w:p w14:paraId="05E5D56F" w14:textId="77777777" w:rsidR="006B062C" w:rsidRPr="004D474A" w:rsidRDefault="006B062C" w:rsidP="006B062C">
      <w:pPr>
        <w:pStyle w:val="Lijstalinea"/>
        <w:ind w:left="567"/>
        <w:rPr>
          <w:rFonts w:asciiTheme="minorHAnsi" w:hAnsiTheme="minorHAnsi"/>
          <w:lang w:val="en-GB"/>
        </w:rPr>
      </w:pPr>
      <w:r w:rsidRPr="004D474A">
        <w:rPr>
          <w:rFonts w:asciiTheme="minorHAnsi" w:hAnsiTheme="minorHAnsi"/>
          <w:lang w:val="en-GB"/>
        </w:rPr>
        <w:t xml:space="preserve">Controlled clinical studies in a limited </w:t>
      </w:r>
      <w:r w:rsidR="004D474A" w:rsidRPr="004D474A">
        <w:rPr>
          <w:rFonts w:asciiTheme="minorHAnsi" w:hAnsiTheme="minorHAnsi"/>
          <w:lang w:val="en-GB"/>
        </w:rPr>
        <w:t>paediatric</w:t>
      </w:r>
      <w:r w:rsidRPr="004D474A">
        <w:rPr>
          <w:rFonts w:asciiTheme="minorHAnsi" w:hAnsiTheme="minorHAnsi"/>
          <w:lang w:val="en-GB"/>
        </w:rPr>
        <w:t xml:space="preserve"> population aged 10-16 years treated during 1 year demonstrated a similar response in </w:t>
      </w:r>
      <w:r w:rsidR="004D474A" w:rsidRPr="004D474A">
        <w:rPr>
          <w:rFonts w:asciiTheme="minorHAnsi" w:hAnsiTheme="minorHAnsi"/>
          <w:lang w:val="en-GB"/>
        </w:rPr>
        <w:t>glycaemic</w:t>
      </w:r>
      <w:r w:rsidRPr="004D474A">
        <w:rPr>
          <w:rFonts w:asciiTheme="minorHAnsi" w:hAnsiTheme="minorHAnsi"/>
          <w:lang w:val="en-GB"/>
        </w:rPr>
        <w:t xml:space="preserve"> control to that seen in adults.</w:t>
      </w:r>
    </w:p>
    <w:p w14:paraId="5D39C69C" w14:textId="77777777" w:rsidR="006B062C" w:rsidRPr="004D474A" w:rsidRDefault="006B062C" w:rsidP="006B062C">
      <w:pPr>
        <w:pStyle w:val="Lijstalinea"/>
        <w:ind w:left="567"/>
        <w:rPr>
          <w:rFonts w:asciiTheme="minorHAnsi" w:hAnsiTheme="minorHAnsi"/>
          <w:lang w:val="en-GB"/>
        </w:rPr>
      </w:pPr>
    </w:p>
    <w:p w14:paraId="0C852CDC" w14:textId="06745956" w:rsidR="00AE30FE" w:rsidRPr="00DB2697" w:rsidRDefault="00DB2697" w:rsidP="00DB2697">
      <w:pPr>
        <w:pStyle w:val="Lijstalinea"/>
        <w:numPr>
          <w:ilvl w:val="1"/>
          <w:numId w:val="31"/>
        </w:numPr>
        <w:rPr>
          <w:rFonts w:asciiTheme="minorHAnsi" w:hAnsiTheme="minorHAnsi"/>
          <w:b/>
          <w:lang w:val="en-GB"/>
        </w:rPr>
      </w:pPr>
      <w:r>
        <w:rPr>
          <w:rFonts w:asciiTheme="minorHAnsi" w:hAnsiTheme="minorHAnsi"/>
          <w:b/>
          <w:lang w:val="en-GB"/>
        </w:rPr>
        <w:t xml:space="preserve"> </w:t>
      </w:r>
      <w:r w:rsidR="00AE30FE" w:rsidRPr="00DB2697">
        <w:rPr>
          <w:rFonts w:asciiTheme="minorHAnsi" w:hAnsiTheme="minorHAnsi"/>
          <w:b/>
          <w:lang w:val="en-GB"/>
        </w:rPr>
        <w:t>Pharmacokinetic properties</w:t>
      </w:r>
    </w:p>
    <w:p w14:paraId="6C16B3C2" w14:textId="77777777" w:rsidR="006B062C" w:rsidRPr="004D474A" w:rsidRDefault="006B062C" w:rsidP="006B062C">
      <w:pPr>
        <w:pStyle w:val="Lijstalinea"/>
        <w:ind w:left="567"/>
        <w:rPr>
          <w:rFonts w:asciiTheme="minorHAnsi" w:hAnsiTheme="minorHAnsi"/>
          <w:b/>
          <w:lang w:val="en-GB"/>
        </w:rPr>
      </w:pPr>
    </w:p>
    <w:p w14:paraId="3DFB1063" w14:textId="77777777" w:rsidR="006B062C" w:rsidRPr="004D474A" w:rsidRDefault="006B062C" w:rsidP="00173219">
      <w:pPr>
        <w:pStyle w:val="Lijstalinea"/>
        <w:ind w:left="567"/>
        <w:rPr>
          <w:rFonts w:asciiTheme="minorHAnsi" w:hAnsiTheme="minorHAnsi"/>
          <w:b/>
          <w:lang w:val="en-GB"/>
        </w:rPr>
      </w:pPr>
      <w:r w:rsidRPr="004D474A">
        <w:rPr>
          <w:rFonts w:asciiTheme="minorHAnsi" w:hAnsiTheme="minorHAnsi"/>
          <w:b/>
          <w:lang w:val="en-GB"/>
        </w:rPr>
        <w:t>Absorption</w:t>
      </w:r>
    </w:p>
    <w:p w14:paraId="63B089FE" w14:textId="77777777" w:rsidR="006B062C" w:rsidRPr="004D474A" w:rsidRDefault="006B062C" w:rsidP="00173219">
      <w:pPr>
        <w:pStyle w:val="Lijstalinea"/>
        <w:ind w:left="567"/>
        <w:rPr>
          <w:rFonts w:asciiTheme="minorHAnsi" w:hAnsiTheme="minorHAnsi"/>
          <w:lang w:val="en-GB"/>
        </w:rPr>
      </w:pPr>
      <w:r w:rsidRPr="004D474A">
        <w:rPr>
          <w:rFonts w:asciiTheme="minorHAnsi" w:hAnsiTheme="minorHAnsi"/>
          <w:lang w:val="en-GB"/>
        </w:rPr>
        <w:t>After an oral dose of metformin hydrochloride tablet, maximum plasma concentration (Cmax) is reached in approximately 2.5 hours (</w:t>
      </w:r>
      <w:r w:rsidR="004D474A" w:rsidRPr="004D474A">
        <w:rPr>
          <w:rFonts w:asciiTheme="minorHAnsi" w:hAnsiTheme="minorHAnsi"/>
          <w:lang w:val="en-GB"/>
        </w:rPr>
        <w:t>T</w:t>
      </w:r>
      <w:r w:rsidRPr="004D474A">
        <w:rPr>
          <w:rFonts w:asciiTheme="minorHAnsi" w:hAnsiTheme="minorHAnsi"/>
          <w:lang w:val="en-GB"/>
        </w:rPr>
        <w:t xml:space="preserve">max). Absolute bioavailability of a 500 mg or 850 mg metformin hydrochloride tablet is approximately 50-60% in healthy subjects. After an oral dose, the non-absorbed fraction recovered in </w:t>
      </w:r>
      <w:r w:rsidR="004D474A" w:rsidRPr="004D474A">
        <w:rPr>
          <w:rFonts w:asciiTheme="minorHAnsi" w:hAnsiTheme="minorHAnsi"/>
          <w:lang w:val="en-GB"/>
        </w:rPr>
        <w:t>faces</w:t>
      </w:r>
      <w:r w:rsidRPr="004D474A">
        <w:rPr>
          <w:rFonts w:asciiTheme="minorHAnsi" w:hAnsiTheme="minorHAnsi"/>
          <w:lang w:val="en-GB"/>
        </w:rPr>
        <w:t xml:space="preserve"> was 20-30%. After oral administration, metformin absorption is saturable and incomplete. It is assumed that the pharmacokinetics of metformin absorption is non-linear. At the recommended metformin doses and dosing schedules, steady state plasma concentrations are reached within 24 to 48 hours and are generally less than 1 microgram/ml. In controlled clinical trials, maximum metformin plasma levels (Cmax) did not exceed 5 microgram/ml, even at maximum doses. Food decreases the extent and slightly delays the absorption of metformin. Following oral administration of a 850 mg tablet, a 40% lower plasma peak concentration, a 25% decrease in AUC (area under the curve) and a 35 minute prolongation of the time to peak plasma concentration were observed. The clinical relevance of these findings is unknown.</w:t>
      </w:r>
    </w:p>
    <w:p w14:paraId="5FDE3CBF" w14:textId="77777777" w:rsidR="006B062C" w:rsidRPr="004D474A" w:rsidRDefault="006B062C" w:rsidP="00173219">
      <w:pPr>
        <w:pStyle w:val="Lijstalinea"/>
        <w:ind w:left="567"/>
        <w:rPr>
          <w:rFonts w:asciiTheme="minorHAnsi" w:hAnsiTheme="minorHAnsi"/>
          <w:b/>
          <w:lang w:val="en-GB"/>
        </w:rPr>
      </w:pPr>
      <w:r w:rsidRPr="004D474A">
        <w:rPr>
          <w:rFonts w:asciiTheme="minorHAnsi" w:hAnsiTheme="minorHAnsi"/>
          <w:b/>
          <w:lang w:val="en-GB"/>
        </w:rPr>
        <w:t>Distribution</w:t>
      </w:r>
    </w:p>
    <w:p w14:paraId="6BCD4633" w14:textId="77777777" w:rsidR="006B062C" w:rsidRPr="004D474A" w:rsidRDefault="006B062C" w:rsidP="00173219">
      <w:pPr>
        <w:pStyle w:val="Lijstalinea"/>
        <w:ind w:left="567"/>
        <w:rPr>
          <w:rFonts w:asciiTheme="minorHAnsi" w:hAnsiTheme="minorHAnsi"/>
          <w:lang w:val="en-GB"/>
        </w:rPr>
      </w:pPr>
      <w:r w:rsidRPr="004D474A">
        <w:rPr>
          <w:rFonts w:asciiTheme="minorHAnsi" w:hAnsiTheme="minorHAnsi"/>
          <w:lang w:val="en-GB"/>
        </w:rPr>
        <w:t>Plasma protein binding is negligible. Metformin partitions into erythrocytes. The blood peak is lower than the plasma peak and appears at approximately the same time. The red blood cells most likely represent a secondary compartment of distribution. The mean volume of distribution (Vd) ranged between 63-276 l.</w:t>
      </w:r>
    </w:p>
    <w:p w14:paraId="3D0AF210" w14:textId="77777777" w:rsidR="00173219" w:rsidRPr="004D474A" w:rsidRDefault="00173219" w:rsidP="00173219">
      <w:pPr>
        <w:pStyle w:val="Lijstalinea"/>
        <w:ind w:left="567"/>
        <w:rPr>
          <w:rFonts w:asciiTheme="minorHAnsi" w:hAnsiTheme="minorHAnsi"/>
          <w:lang w:val="en-GB"/>
        </w:rPr>
      </w:pPr>
    </w:p>
    <w:p w14:paraId="67F51A10" w14:textId="77777777" w:rsidR="006B062C" w:rsidRPr="004D474A" w:rsidRDefault="006B062C" w:rsidP="00173219">
      <w:pPr>
        <w:pStyle w:val="Lijstalinea"/>
        <w:ind w:left="567"/>
        <w:rPr>
          <w:rFonts w:asciiTheme="minorHAnsi" w:hAnsiTheme="minorHAnsi"/>
          <w:b/>
          <w:lang w:val="en-GB"/>
        </w:rPr>
      </w:pPr>
      <w:r w:rsidRPr="004D474A">
        <w:rPr>
          <w:rFonts w:asciiTheme="minorHAnsi" w:hAnsiTheme="minorHAnsi"/>
          <w:b/>
          <w:lang w:val="en-GB"/>
        </w:rPr>
        <w:t>Metabolism</w:t>
      </w:r>
    </w:p>
    <w:p w14:paraId="40F5D83D" w14:textId="77777777" w:rsidR="006B062C" w:rsidRPr="004D474A" w:rsidRDefault="006B062C" w:rsidP="00173219">
      <w:pPr>
        <w:pStyle w:val="Lijstalinea"/>
        <w:ind w:left="567"/>
        <w:rPr>
          <w:rFonts w:asciiTheme="minorHAnsi" w:hAnsiTheme="minorHAnsi"/>
          <w:lang w:val="en-GB"/>
        </w:rPr>
      </w:pPr>
      <w:r w:rsidRPr="004D474A">
        <w:rPr>
          <w:rFonts w:asciiTheme="minorHAnsi" w:hAnsiTheme="minorHAnsi"/>
          <w:lang w:val="en-GB"/>
        </w:rPr>
        <w:t>Metformin is excreted unchanged in the urine. No metabolites have been identified in humans.</w:t>
      </w:r>
    </w:p>
    <w:p w14:paraId="327582BD" w14:textId="77777777" w:rsidR="00173219" w:rsidRPr="004D474A" w:rsidRDefault="00173219" w:rsidP="00173219">
      <w:pPr>
        <w:pStyle w:val="Lijstalinea"/>
        <w:ind w:left="567"/>
        <w:rPr>
          <w:rFonts w:asciiTheme="minorHAnsi" w:hAnsiTheme="minorHAnsi"/>
          <w:lang w:val="en-GB"/>
        </w:rPr>
      </w:pPr>
    </w:p>
    <w:p w14:paraId="612559AF" w14:textId="77777777" w:rsidR="006B062C" w:rsidRPr="004D474A" w:rsidRDefault="006B062C" w:rsidP="00173219">
      <w:pPr>
        <w:pStyle w:val="Lijstalinea"/>
        <w:ind w:left="567"/>
        <w:rPr>
          <w:rFonts w:asciiTheme="minorHAnsi" w:hAnsiTheme="minorHAnsi"/>
          <w:b/>
          <w:lang w:val="en-GB"/>
        </w:rPr>
      </w:pPr>
      <w:r w:rsidRPr="004D474A">
        <w:rPr>
          <w:rFonts w:asciiTheme="minorHAnsi" w:hAnsiTheme="minorHAnsi"/>
          <w:b/>
          <w:lang w:val="en-GB"/>
        </w:rPr>
        <w:t>Elimination</w:t>
      </w:r>
    </w:p>
    <w:p w14:paraId="70EE8449" w14:textId="77777777" w:rsidR="006B062C" w:rsidRPr="004D474A" w:rsidRDefault="006B062C" w:rsidP="00173219">
      <w:pPr>
        <w:pStyle w:val="Lijstalinea"/>
        <w:ind w:left="567"/>
        <w:rPr>
          <w:rFonts w:asciiTheme="minorHAnsi" w:hAnsiTheme="minorHAnsi"/>
          <w:lang w:val="en-GB"/>
        </w:rPr>
      </w:pPr>
      <w:r w:rsidRPr="004D474A">
        <w:rPr>
          <w:rFonts w:asciiTheme="minorHAnsi" w:hAnsiTheme="minorHAnsi"/>
          <w:lang w:val="en-GB"/>
        </w:rPr>
        <w:t>Renal clearance of metformin is &gt; 400 ml/min, indicating that metformin is eliminated by glomerular filtration and tubular secretion. Following an oral dose, the apparent terminal elimination half-life is approximately 6.5 hours.</w:t>
      </w:r>
    </w:p>
    <w:p w14:paraId="0955CC13" w14:textId="77777777" w:rsidR="006B062C" w:rsidRPr="004D474A" w:rsidRDefault="006B062C" w:rsidP="00173219">
      <w:pPr>
        <w:pStyle w:val="Lijstalinea"/>
        <w:ind w:left="567"/>
        <w:rPr>
          <w:rFonts w:asciiTheme="minorHAnsi" w:hAnsiTheme="minorHAnsi"/>
          <w:lang w:val="en-GB"/>
        </w:rPr>
      </w:pPr>
      <w:r w:rsidRPr="004D474A">
        <w:rPr>
          <w:rFonts w:asciiTheme="minorHAnsi" w:hAnsiTheme="minorHAnsi"/>
          <w:lang w:val="en-GB"/>
        </w:rPr>
        <w:t>When renal function is impaired, renal clearance is decreased in proportion to that of creatinine and thus the elimination half-life is prolonged, leading to increased levels of metformin in plasma.</w:t>
      </w:r>
    </w:p>
    <w:p w14:paraId="3B82A994" w14:textId="77777777" w:rsidR="00173219" w:rsidRPr="004D474A" w:rsidRDefault="00173219" w:rsidP="00173219">
      <w:pPr>
        <w:pStyle w:val="Lijstalinea"/>
        <w:ind w:left="567"/>
        <w:rPr>
          <w:rFonts w:asciiTheme="minorHAnsi" w:hAnsiTheme="minorHAnsi"/>
          <w:lang w:val="en-GB"/>
        </w:rPr>
      </w:pPr>
    </w:p>
    <w:p w14:paraId="1EB060D8" w14:textId="77777777" w:rsidR="006B062C" w:rsidRPr="004D474A" w:rsidRDefault="006B062C" w:rsidP="00173219">
      <w:pPr>
        <w:pStyle w:val="Lijstalinea"/>
        <w:ind w:left="567"/>
        <w:rPr>
          <w:rFonts w:asciiTheme="minorHAnsi" w:hAnsiTheme="minorHAnsi"/>
          <w:b/>
          <w:lang w:val="en-GB"/>
        </w:rPr>
      </w:pPr>
      <w:r w:rsidRPr="004D474A">
        <w:rPr>
          <w:rFonts w:asciiTheme="minorHAnsi" w:hAnsiTheme="minorHAnsi"/>
          <w:b/>
          <w:lang w:val="en-GB"/>
        </w:rPr>
        <w:t>Characteristics in specific groups of patients</w:t>
      </w:r>
    </w:p>
    <w:p w14:paraId="6F7FFC48" w14:textId="77777777" w:rsidR="006B062C" w:rsidRPr="004D474A" w:rsidRDefault="006B062C" w:rsidP="00173219">
      <w:pPr>
        <w:pStyle w:val="Lijstalinea"/>
        <w:numPr>
          <w:ilvl w:val="0"/>
          <w:numId w:val="18"/>
        </w:numPr>
        <w:ind w:left="1134" w:hanging="502"/>
        <w:rPr>
          <w:rFonts w:asciiTheme="minorHAnsi" w:hAnsiTheme="minorHAnsi"/>
          <w:lang w:val="en-GB"/>
        </w:rPr>
      </w:pPr>
      <w:r w:rsidRPr="004D474A">
        <w:rPr>
          <w:rFonts w:asciiTheme="minorHAnsi" w:hAnsiTheme="minorHAnsi"/>
          <w:lang w:val="en-GB"/>
        </w:rPr>
        <w:t>Renal impairment</w:t>
      </w:r>
      <w:r w:rsidR="00173219" w:rsidRPr="004D474A">
        <w:rPr>
          <w:rFonts w:asciiTheme="minorHAnsi" w:hAnsiTheme="minorHAnsi"/>
          <w:lang w:val="en-GB"/>
        </w:rPr>
        <w:t>.</w:t>
      </w:r>
      <w:r w:rsidRPr="004D474A">
        <w:rPr>
          <w:rFonts w:asciiTheme="minorHAnsi" w:hAnsiTheme="minorHAnsi"/>
          <w:lang w:val="en-GB"/>
        </w:rPr>
        <w:t xml:space="preserve"> The available data in subjects with moderate renal insufficiency are scarce and no reliable estimation of the systemic exposure to metformin in this subgroup as compared to subjects with normal renal function could be made. Therefore, the dose adaptation should</w:t>
      </w:r>
      <w:r w:rsidR="00746E3A">
        <w:rPr>
          <w:rFonts w:asciiTheme="minorHAnsi" w:hAnsiTheme="minorHAnsi"/>
          <w:lang w:val="en-GB"/>
        </w:rPr>
        <w:t xml:space="preserve"> be made upon clinical efficacy and </w:t>
      </w:r>
      <w:r w:rsidRPr="004D474A">
        <w:rPr>
          <w:rFonts w:asciiTheme="minorHAnsi" w:hAnsiTheme="minorHAnsi"/>
          <w:lang w:val="en-GB"/>
        </w:rPr>
        <w:t>tolerability considerations.</w:t>
      </w:r>
    </w:p>
    <w:p w14:paraId="1BFE50BE" w14:textId="77777777" w:rsidR="006B062C" w:rsidRPr="004D474A" w:rsidRDefault="004D474A" w:rsidP="00173219">
      <w:pPr>
        <w:pStyle w:val="Lijstalinea"/>
        <w:numPr>
          <w:ilvl w:val="0"/>
          <w:numId w:val="18"/>
        </w:numPr>
        <w:ind w:left="1134" w:hanging="502"/>
        <w:rPr>
          <w:rFonts w:asciiTheme="minorHAnsi" w:hAnsiTheme="minorHAnsi"/>
          <w:lang w:val="en-GB"/>
        </w:rPr>
      </w:pPr>
      <w:r w:rsidRPr="004D474A">
        <w:rPr>
          <w:rFonts w:asciiTheme="minorHAnsi" w:hAnsiTheme="minorHAnsi"/>
          <w:lang w:val="en-GB"/>
        </w:rPr>
        <w:t>Paediatric</w:t>
      </w:r>
      <w:r w:rsidR="006B062C" w:rsidRPr="004D474A">
        <w:rPr>
          <w:rFonts w:asciiTheme="minorHAnsi" w:hAnsiTheme="minorHAnsi"/>
          <w:lang w:val="en-GB"/>
        </w:rPr>
        <w:t xml:space="preserve"> population</w:t>
      </w:r>
    </w:p>
    <w:p w14:paraId="066C42CC" w14:textId="77777777" w:rsidR="006B062C" w:rsidRPr="004D474A" w:rsidRDefault="006B062C" w:rsidP="00173219">
      <w:pPr>
        <w:pStyle w:val="Lijstalinea"/>
        <w:numPr>
          <w:ilvl w:val="0"/>
          <w:numId w:val="18"/>
        </w:numPr>
        <w:ind w:left="1701" w:hanging="502"/>
        <w:rPr>
          <w:rFonts w:asciiTheme="minorHAnsi" w:hAnsiTheme="minorHAnsi"/>
          <w:lang w:val="en-GB"/>
        </w:rPr>
      </w:pPr>
      <w:r w:rsidRPr="004D474A">
        <w:rPr>
          <w:rFonts w:asciiTheme="minorHAnsi" w:hAnsiTheme="minorHAnsi"/>
          <w:lang w:val="en-GB"/>
        </w:rPr>
        <w:t xml:space="preserve">Single dose study: After single doses of metformin hydrochloride 500 mg </w:t>
      </w:r>
      <w:r w:rsidR="004D474A" w:rsidRPr="004D474A">
        <w:rPr>
          <w:rFonts w:asciiTheme="minorHAnsi" w:hAnsiTheme="minorHAnsi"/>
          <w:lang w:val="en-GB"/>
        </w:rPr>
        <w:t>paediatric</w:t>
      </w:r>
      <w:r w:rsidRPr="004D474A">
        <w:rPr>
          <w:rFonts w:asciiTheme="minorHAnsi" w:hAnsiTheme="minorHAnsi"/>
          <w:lang w:val="en-GB"/>
        </w:rPr>
        <w:t xml:space="preserve"> patients have shown similar pharmacokinetic profile to that observed in healthy adults.</w:t>
      </w:r>
    </w:p>
    <w:p w14:paraId="024B4150" w14:textId="77777777" w:rsidR="006B062C" w:rsidRPr="004D474A" w:rsidRDefault="006B062C" w:rsidP="00173219">
      <w:pPr>
        <w:pStyle w:val="Lijstalinea"/>
        <w:numPr>
          <w:ilvl w:val="0"/>
          <w:numId w:val="18"/>
        </w:numPr>
        <w:ind w:left="1701" w:hanging="502"/>
        <w:rPr>
          <w:rFonts w:asciiTheme="minorHAnsi" w:hAnsiTheme="minorHAnsi"/>
          <w:lang w:val="en-GB"/>
        </w:rPr>
      </w:pPr>
      <w:r w:rsidRPr="004D474A">
        <w:rPr>
          <w:rFonts w:asciiTheme="minorHAnsi" w:hAnsiTheme="minorHAnsi"/>
          <w:lang w:val="en-GB"/>
        </w:rPr>
        <w:t xml:space="preserve">Multiple dose study: Data are restricted to one study. After repeated doses of 500 mg twice daily for 7 days in </w:t>
      </w:r>
      <w:r w:rsidR="004D474A" w:rsidRPr="004D474A">
        <w:rPr>
          <w:rFonts w:asciiTheme="minorHAnsi" w:hAnsiTheme="minorHAnsi"/>
          <w:lang w:val="en-GB"/>
        </w:rPr>
        <w:t>paediatric</w:t>
      </w:r>
      <w:r w:rsidRPr="004D474A">
        <w:rPr>
          <w:rFonts w:asciiTheme="minorHAnsi" w:hAnsiTheme="minorHAnsi"/>
          <w:lang w:val="en-GB"/>
        </w:rPr>
        <w:t xml:space="preserve"> patients the peak plasma concentration (Cmax) and systemic exposure (AUC0-t) were reduced by approximately 33% and 40%, respectively compared to diabetic adults who received repeated doses of 500 mg twice daily for 14 days. As the dose is individually titrated based on </w:t>
      </w:r>
      <w:r w:rsidR="004D474A" w:rsidRPr="004D474A">
        <w:rPr>
          <w:rFonts w:asciiTheme="minorHAnsi" w:hAnsiTheme="minorHAnsi"/>
          <w:lang w:val="en-GB"/>
        </w:rPr>
        <w:t>glycaemic</w:t>
      </w:r>
      <w:r w:rsidRPr="004D474A">
        <w:rPr>
          <w:rFonts w:asciiTheme="minorHAnsi" w:hAnsiTheme="minorHAnsi"/>
          <w:lang w:val="en-GB"/>
        </w:rPr>
        <w:t xml:space="preserve"> control, this is of limited clinical relevance.</w:t>
      </w:r>
    </w:p>
    <w:p w14:paraId="1C154C31" w14:textId="7B89F271" w:rsidR="006B062C" w:rsidRDefault="006B062C" w:rsidP="006B062C">
      <w:pPr>
        <w:pStyle w:val="Lijstalinea"/>
        <w:ind w:left="567"/>
        <w:rPr>
          <w:rFonts w:asciiTheme="minorHAnsi" w:hAnsiTheme="minorHAnsi"/>
          <w:b/>
          <w:lang w:val="en-GB"/>
        </w:rPr>
      </w:pPr>
    </w:p>
    <w:p w14:paraId="7626CBFD" w14:textId="496C9B53" w:rsidR="004234C1" w:rsidRDefault="004234C1" w:rsidP="006B062C">
      <w:pPr>
        <w:pStyle w:val="Lijstalinea"/>
        <w:ind w:left="567"/>
        <w:rPr>
          <w:rFonts w:asciiTheme="minorHAnsi" w:hAnsiTheme="minorHAnsi"/>
          <w:b/>
          <w:lang w:val="en-GB"/>
        </w:rPr>
      </w:pPr>
    </w:p>
    <w:p w14:paraId="668FA713" w14:textId="77777777" w:rsidR="004234C1" w:rsidRPr="004D474A" w:rsidRDefault="004234C1" w:rsidP="006B062C">
      <w:pPr>
        <w:pStyle w:val="Lijstalinea"/>
        <w:ind w:left="567"/>
        <w:rPr>
          <w:rFonts w:asciiTheme="minorHAnsi" w:hAnsiTheme="minorHAnsi"/>
          <w:b/>
          <w:lang w:val="en-GB"/>
        </w:rPr>
      </w:pPr>
    </w:p>
    <w:p w14:paraId="7818BB22" w14:textId="66832EFB" w:rsidR="00AE30FE" w:rsidRPr="004234C1" w:rsidRDefault="004234C1" w:rsidP="004234C1">
      <w:pPr>
        <w:pStyle w:val="Lijstalinea"/>
        <w:numPr>
          <w:ilvl w:val="1"/>
          <w:numId w:val="31"/>
        </w:numPr>
        <w:rPr>
          <w:rFonts w:asciiTheme="minorHAnsi" w:hAnsiTheme="minorHAnsi"/>
          <w:b/>
          <w:lang w:val="en-GB"/>
        </w:rPr>
      </w:pPr>
      <w:r>
        <w:rPr>
          <w:rFonts w:asciiTheme="minorHAnsi" w:hAnsiTheme="minorHAnsi"/>
          <w:b/>
          <w:lang w:val="en-GB"/>
        </w:rPr>
        <w:t xml:space="preserve"> </w:t>
      </w:r>
      <w:r w:rsidR="00AE30FE" w:rsidRPr="004234C1">
        <w:rPr>
          <w:rFonts w:asciiTheme="minorHAnsi" w:hAnsiTheme="minorHAnsi"/>
          <w:b/>
          <w:lang w:val="en-GB"/>
        </w:rPr>
        <w:t>Preclinical safety data</w:t>
      </w:r>
    </w:p>
    <w:p w14:paraId="67CFF532" w14:textId="77777777" w:rsidR="006B062C" w:rsidRPr="004D474A" w:rsidRDefault="00173219" w:rsidP="006B062C">
      <w:pPr>
        <w:pStyle w:val="Lijstalinea"/>
        <w:ind w:left="567"/>
        <w:rPr>
          <w:rFonts w:asciiTheme="minorHAnsi" w:hAnsiTheme="minorHAnsi"/>
          <w:b/>
          <w:lang w:val="en-GB"/>
        </w:rPr>
      </w:pPr>
      <w:r w:rsidRPr="004D474A">
        <w:rPr>
          <w:rFonts w:asciiTheme="minorHAnsi" w:eastAsiaTheme="minorHAnsi" w:hAnsiTheme="minorHAnsi"/>
          <w:lang w:val="en-GB"/>
        </w:rPr>
        <w:t>Preclinical data reveal no special hazard for humans based on conventional studies on safety, pharmacology, repeated dose toxicity, genotoxicity, carcinogenic potential and reproductive toxicity</w:t>
      </w:r>
    </w:p>
    <w:p w14:paraId="2FFE6418" w14:textId="77777777" w:rsidR="006B062C" w:rsidRPr="004D474A" w:rsidRDefault="006B062C" w:rsidP="006B062C">
      <w:pPr>
        <w:pStyle w:val="Lijstalinea"/>
        <w:ind w:left="567"/>
        <w:rPr>
          <w:rFonts w:asciiTheme="minorHAnsi" w:hAnsiTheme="minorHAnsi"/>
          <w:b/>
          <w:lang w:val="en-GB"/>
        </w:rPr>
      </w:pPr>
    </w:p>
    <w:p w14:paraId="4D52B9E5" w14:textId="4CB24BBE" w:rsidR="00AE30FE" w:rsidRPr="00D64FEE" w:rsidRDefault="00AE30FE" w:rsidP="00D64FEE">
      <w:pPr>
        <w:pStyle w:val="Lijstalinea"/>
        <w:numPr>
          <w:ilvl w:val="0"/>
          <w:numId w:val="12"/>
        </w:numPr>
        <w:rPr>
          <w:rFonts w:asciiTheme="minorHAnsi" w:hAnsiTheme="minorHAnsi"/>
          <w:b/>
          <w:lang w:val="en-GB"/>
        </w:rPr>
      </w:pPr>
      <w:r w:rsidRPr="00D64FEE">
        <w:rPr>
          <w:rFonts w:asciiTheme="minorHAnsi" w:hAnsiTheme="minorHAnsi"/>
          <w:b/>
          <w:lang w:val="en-GB"/>
        </w:rPr>
        <w:t>PHARMACEUTICAL PARTICULARS</w:t>
      </w:r>
    </w:p>
    <w:p w14:paraId="79B26379" w14:textId="77777777" w:rsidR="004D474A" w:rsidRPr="004D474A" w:rsidRDefault="004D474A" w:rsidP="004D474A">
      <w:pPr>
        <w:pStyle w:val="Lijstalinea"/>
        <w:ind w:left="567"/>
        <w:rPr>
          <w:rFonts w:asciiTheme="minorHAnsi" w:hAnsiTheme="minorHAnsi"/>
          <w:b/>
          <w:lang w:val="en-GB"/>
        </w:rPr>
      </w:pPr>
    </w:p>
    <w:p w14:paraId="4B9F1EA1" w14:textId="77777777" w:rsidR="00AE30FE" w:rsidRPr="004D474A" w:rsidRDefault="00AE30FE" w:rsidP="00D64FEE">
      <w:pPr>
        <w:pStyle w:val="Lijstalinea"/>
        <w:numPr>
          <w:ilvl w:val="1"/>
          <w:numId w:val="12"/>
        </w:numPr>
        <w:ind w:left="431" w:hanging="431"/>
        <w:rPr>
          <w:rFonts w:asciiTheme="minorHAnsi" w:hAnsiTheme="minorHAnsi"/>
          <w:b/>
          <w:lang w:val="en-GB"/>
        </w:rPr>
      </w:pPr>
      <w:r w:rsidRPr="004D474A">
        <w:rPr>
          <w:rFonts w:asciiTheme="minorHAnsi" w:hAnsiTheme="minorHAnsi"/>
          <w:b/>
          <w:lang w:val="en-GB"/>
        </w:rPr>
        <w:t>List of excipients</w:t>
      </w:r>
    </w:p>
    <w:p w14:paraId="2768AE69" w14:textId="77777777" w:rsidR="00661EAB" w:rsidRDefault="00661EAB" w:rsidP="00104756">
      <w:pPr>
        <w:pStyle w:val="Lijstalinea"/>
        <w:ind w:left="567"/>
        <w:rPr>
          <w:rFonts w:asciiTheme="minorHAnsi" w:hAnsiTheme="minorHAnsi"/>
          <w:u w:val="single"/>
          <w:lang w:val="en-GB"/>
        </w:rPr>
      </w:pPr>
    </w:p>
    <w:p w14:paraId="3266E220" w14:textId="1DAA4012" w:rsidR="00173219" w:rsidRPr="009D53CC" w:rsidRDefault="009D53CC" w:rsidP="00104756">
      <w:pPr>
        <w:pStyle w:val="Lijstalinea"/>
        <w:ind w:left="567"/>
        <w:rPr>
          <w:rFonts w:asciiTheme="minorHAnsi" w:hAnsiTheme="minorHAnsi"/>
          <w:u w:val="single"/>
          <w:lang w:val="en-GB"/>
        </w:rPr>
      </w:pPr>
      <w:r w:rsidRPr="009D53CC">
        <w:rPr>
          <w:rFonts w:asciiTheme="minorHAnsi" w:hAnsiTheme="minorHAnsi"/>
          <w:u w:val="single"/>
          <w:lang w:val="en-GB"/>
        </w:rPr>
        <w:t>Tablet core</w:t>
      </w:r>
    </w:p>
    <w:p w14:paraId="55D4C21B" w14:textId="77777777" w:rsidR="00173219" w:rsidRPr="009D53CC" w:rsidRDefault="00173219" w:rsidP="009D53CC">
      <w:pPr>
        <w:spacing w:after="0"/>
        <w:ind w:left="567"/>
        <w:rPr>
          <w:rFonts w:asciiTheme="minorHAnsi" w:hAnsiTheme="minorHAnsi"/>
          <w:lang w:val="en-GB"/>
        </w:rPr>
      </w:pPr>
      <w:r w:rsidRPr="009D53CC">
        <w:rPr>
          <w:rFonts w:asciiTheme="minorHAnsi" w:hAnsiTheme="minorHAnsi"/>
          <w:lang w:val="en-GB"/>
        </w:rPr>
        <w:t xml:space="preserve">sodium starch glycolate, </w:t>
      </w:r>
    </w:p>
    <w:p w14:paraId="5E277021" w14:textId="77777777" w:rsidR="00173219" w:rsidRPr="009D53CC" w:rsidRDefault="00173219" w:rsidP="009D53CC">
      <w:pPr>
        <w:spacing w:after="0"/>
        <w:ind w:left="567"/>
        <w:rPr>
          <w:rFonts w:asciiTheme="minorHAnsi" w:hAnsiTheme="minorHAnsi"/>
          <w:lang w:val="en-GB"/>
        </w:rPr>
      </w:pPr>
      <w:r w:rsidRPr="009D53CC">
        <w:rPr>
          <w:rFonts w:asciiTheme="minorHAnsi" w:hAnsiTheme="minorHAnsi"/>
          <w:lang w:val="en-GB"/>
        </w:rPr>
        <w:t>povidone,</w:t>
      </w:r>
    </w:p>
    <w:p w14:paraId="2A059887" w14:textId="77777777" w:rsidR="00173219" w:rsidRPr="009D53CC" w:rsidRDefault="00173219" w:rsidP="009D53CC">
      <w:pPr>
        <w:spacing w:after="0"/>
        <w:ind w:left="567"/>
        <w:rPr>
          <w:rFonts w:asciiTheme="minorHAnsi" w:hAnsiTheme="minorHAnsi"/>
          <w:lang w:val="en-GB"/>
        </w:rPr>
      </w:pPr>
      <w:r w:rsidRPr="009D53CC">
        <w:rPr>
          <w:rFonts w:asciiTheme="minorHAnsi" w:hAnsiTheme="minorHAnsi"/>
          <w:lang w:val="en-GB"/>
        </w:rPr>
        <w:t xml:space="preserve">colloidal silica, </w:t>
      </w:r>
    </w:p>
    <w:p w14:paraId="33B93428" w14:textId="77777777" w:rsidR="00173219" w:rsidRPr="009D53CC" w:rsidRDefault="00173219" w:rsidP="009D53CC">
      <w:pPr>
        <w:spacing w:after="0"/>
        <w:ind w:left="567"/>
        <w:rPr>
          <w:rFonts w:asciiTheme="minorHAnsi" w:hAnsiTheme="minorHAnsi"/>
          <w:lang w:val="en-GB"/>
        </w:rPr>
      </w:pPr>
      <w:r w:rsidRPr="009D53CC">
        <w:rPr>
          <w:rFonts w:asciiTheme="minorHAnsi" w:hAnsiTheme="minorHAnsi"/>
          <w:lang w:val="en-GB"/>
        </w:rPr>
        <w:t>maize starch,</w:t>
      </w:r>
    </w:p>
    <w:p w14:paraId="6312B673" w14:textId="77777777" w:rsidR="00173219" w:rsidRPr="009D53CC" w:rsidRDefault="00173219" w:rsidP="009D53CC">
      <w:pPr>
        <w:spacing w:after="0"/>
        <w:ind w:left="567"/>
        <w:rPr>
          <w:rFonts w:asciiTheme="minorHAnsi" w:hAnsiTheme="minorHAnsi"/>
          <w:lang w:val="en-GB"/>
        </w:rPr>
      </w:pPr>
      <w:r w:rsidRPr="009D53CC">
        <w:rPr>
          <w:rFonts w:asciiTheme="minorHAnsi" w:hAnsiTheme="minorHAnsi"/>
          <w:lang w:val="en-GB"/>
        </w:rPr>
        <w:t xml:space="preserve">magnesium stearate. </w:t>
      </w:r>
    </w:p>
    <w:p w14:paraId="5FEE4466" w14:textId="77777777" w:rsidR="00746E3A" w:rsidRPr="004D474A" w:rsidRDefault="00746E3A" w:rsidP="00746E3A">
      <w:pPr>
        <w:pStyle w:val="Lijstalinea"/>
        <w:ind w:left="567"/>
        <w:rPr>
          <w:rFonts w:asciiTheme="minorHAnsi" w:hAnsiTheme="minorHAnsi"/>
          <w:lang w:val="en-GB"/>
        </w:rPr>
      </w:pPr>
    </w:p>
    <w:p w14:paraId="52C2E91A" w14:textId="2B7CAF09" w:rsidR="00173219" w:rsidRPr="004D474A" w:rsidRDefault="00173219" w:rsidP="00104756">
      <w:pPr>
        <w:pStyle w:val="Lijstalinea"/>
        <w:ind w:left="567"/>
        <w:rPr>
          <w:rFonts w:asciiTheme="minorHAnsi" w:hAnsiTheme="minorHAnsi"/>
          <w:lang w:val="en-GB"/>
        </w:rPr>
      </w:pPr>
      <w:r w:rsidRPr="009D53CC">
        <w:rPr>
          <w:rFonts w:asciiTheme="minorHAnsi" w:hAnsiTheme="minorHAnsi"/>
          <w:u w:val="single"/>
          <w:lang w:val="en-GB"/>
        </w:rPr>
        <w:t xml:space="preserve">Excipients of </w:t>
      </w:r>
      <w:r w:rsidR="009D53CC">
        <w:rPr>
          <w:rFonts w:asciiTheme="minorHAnsi" w:hAnsiTheme="minorHAnsi"/>
          <w:u w:val="single"/>
          <w:lang w:val="en-GB"/>
        </w:rPr>
        <w:t>film-</w:t>
      </w:r>
      <w:r w:rsidRPr="009D53CC">
        <w:rPr>
          <w:rFonts w:asciiTheme="minorHAnsi" w:hAnsiTheme="minorHAnsi"/>
          <w:u w:val="single"/>
          <w:lang w:val="en-GB"/>
        </w:rPr>
        <w:t>coating</w:t>
      </w:r>
      <w:r w:rsidRPr="004D474A">
        <w:rPr>
          <w:rFonts w:asciiTheme="minorHAnsi" w:hAnsiTheme="minorHAnsi"/>
          <w:lang w:val="en-GB"/>
        </w:rPr>
        <w:t>:</w:t>
      </w:r>
    </w:p>
    <w:p w14:paraId="1A756171" w14:textId="77777777" w:rsidR="00173219" w:rsidRPr="009D53CC" w:rsidRDefault="00173219" w:rsidP="009D53CC">
      <w:pPr>
        <w:spacing w:after="0"/>
        <w:ind w:left="567"/>
        <w:rPr>
          <w:rFonts w:asciiTheme="minorHAnsi" w:hAnsiTheme="minorHAnsi"/>
          <w:lang w:val="en-GB"/>
        </w:rPr>
      </w:pPr>
      <w:proofErr w:type="spellStart"/>
      <w:r w:rsidRPr="009D53CC">
        <w:rPr>
          <w:rFonts w:asciiTheme="minorHAnsi" w:hAnsiTheme="minorHAnsi"/>
          <w:lang w:val="en-GB"/>
        </w:rPr>
        <w:t>hypromellose</w:t>
      </w:r>
      <w:proofErr w:type="spellEnd"/>
      <w:r w:rsidRPr="009D53CC">
        <w:rPr>
          <w:rFonts w:asciiTheme="minorHAnsi" w:hAnsiTheme="minorHAnsi"/>
          <w:lang w:val="en-GB"/>
        </w:rPr>
        <w:t xml:space="preserve">, </w:t>
      </w:r>
    </w:p>
    <w:p w14:paraId="2427DB1C" w14:textId="77777777" w:rsidR="00173219" w:rsidRPr="009D53CC" w:rsidRDefault="00173219" w:rsidP="009D53CC">
      <w:pPr>
        <w:spacing w:after="0"/>
        <w:ind w:left="567"/>
        <w:rPr>
          <w:rFonts w:asciiTheme="minorHAnsi" w:hAnsiTheme="minorHAnsi"/>
          <w:lang w:val="en-GB"/>
        </w:rPr>
      </w:pPr>
      <w:r w:rsidRPr="009D53CC">
        <w:rPr>
          <w:rFonts w:asciiTheme="minorHAnsi" w:hAnsiTheme="minorHAnsi"/>
          <w:lang w:val="en-GB"/>
        </w:rPr>
        <w:t>macrogol 6000,</w:t>
      </w:r>
    </w:p>
    <w:p w14:paraId="280D7759" w14:textId="77777777" w:rsidR="00173219" w:rsidRPr="009D53CC" w:rsidRDefault="00173219" w:rsidP="009D53CC">
      <w:pPr>
        <w:spacing w:after="0"/>
        <w:ind w:left="567"/>
        <w:rPr>
          <w:rFonts w:asciiTheme="minorHAnsi" w:hAnsiTheme="minorHAnsi"/>
          <w:lang w:val="en-GB"/>
        </w:rPr>
      </w:pPr>
      <w:r w:rsidRPr="009D53CC">
        <w:rPr>
          <w:rFonts w:asciiTheme="minorHAnsi" w:hAnsiTheme="minorHAnsi"/>
          <w:lang w:val="en-GB"/>
        </w:rPr>
        <w:t>propylene glycol,</w:t>
      </w:r>
    </w:p>
    <w:p w14:paraId="27A85153" w14:textId="77777777" w:rsidR="00173219" w:rsidRPr="009D53CC" w:rsidRDefault="00173219" w:rsidP="009D53CC">
      <w:pPr>
        <w:spacing w:after="0"/>
        <w:ind w:left="567"/>
        <w:rPr>
          <w:rFonts w:asciiTheme="minorHAnsi" w:hAnsiTheme="minorHAnsi"/>
          <w:lang w:val="en-GB"/>
        </w:rPr>
      </w:pPr>
      <w:r w:rsidRPr="009D53CC">
        <w:rPr>
          <w:rFonts w:asciiTheme="minorHAnsi" w:hAnsiTheme="minorHAnsi"/>
          <w:lang w:val="en-GB"/>
        </w:rPr>
        <w:t>talc,</w:t>
      </w:r>
    </w:p>
    <w:p w14:paraId="7F449545" w14:textId="77777777" w:rsidR="00173219" w:rsidRPr="009D53CC" w:rsidRDefault="00173219" w:rsidP="009D53CC">
      <w:pPr>
        <w:spacing w:after="0"/>
        <w:ind w:left="567"/>
        <w:rPr>
          <w:rFonts w:asciiTheme="minorHAnsi" w:hAnsiTheme="minorHAnsi"/>
          <w:lang w:val="en-GB"/>
        </w:rPr>
      </w:pPr>
      <w:r w:rsidRPr="009D53CC">
        <w:rPr>
          <w:rFonts w:asciiTheme="minorHAnsi" w:hAnsiTheme="minorHAnsi"/>
          <w:lang w:val="en-GB"/>
        </w:rPr>
        <w:t>titanium dioxide.</w:t>
      </w:r>
    </w:p>
    <w:p w14:paraId="051F7A25" w14:textId="77777777" w:rsidR="00173219" w:rsidRPr="004D474A" w:rsidRDefault="00173219" w:rsidP="00104756">
      <w:pPr>
        <w:pStyle w:val="Lijstalinea"/>
        <w:ind w:left="567"/>
        <w:rPr>
          <w:rFonts w:asciiTheme="minorHAnsi" w:hAnsiTheme="minorHAnsi"/>
          <w:lang w:val="en-GB"/>
        </w:rPr>
      </w:pPr>
    </w:p>
    <w:p w14:paraId="239D9D82" w14:textId="77777777" w:rsidR="00AE30FE" w:rsidRPr="004D474A" w:rsidRDefault="00AE30FE" w:rsidP="00D64FEE">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Incompatibilities</w:t>
      </w:r>
    </w:p>
    <w:p w14:paraId="70B04350" w14:textId="7B36A2E2" w:rsidR="00173219" w:rsidRDefault="00173219" w:rsidP="00104756">
      <w:pPr>
        <w:pStyle w:val="Lijstalinea"/>
        <w:ind w:left="567"/>
        <w:rPr>
          <w:rFonts w:asciiTheme="minorHAnsi" w:hAnsiTheme="minorHAnsi"/>
          <w:lang w:val="en-GB"/>
        </w:rPr>
      </w:pPr>
      <w:r w:rsidRPr="004D474A">
        <w:rPr>
          <w:rFonts w:asciiTheme="minorHAnsi" w:hAnsiTheme="minorHAnsi"/>
          <w:lang w:val="en-GB"/>
        </w:rPr>
        <w:t>Not applicable</w:t>
      </w:r>
    </w:p>
    <w:p w14:paraId="7A13BB26" w14:textId="77777777" w:rsidR="0002632D" w:rsidRPr="004D474A" w:rsidRDefault="0002632D" w:rsidP="00104756">
      <w:pPr>
        <w:pStyle w:val="Lijstalinea"/>
        <w:ind w:left="567"/>
        <w:rPr>
          <w:rFonts w:asciiTheme="minorHAnsi" w:hAnsiTheme="minorHAnsi"/>
          <w:lang w:val="en-GB"/>
        </w:rPr>
      </w:pPr>
    </w:p>
    <w:p w14:paraId="35135205" w14:textId="77777777" w:rsidR="00AE30FE" w:rsidRPr="004D474A" w:rsidRDefault="00AE30FE" w:rsidP="00D64FEE">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Shelf life</w:t>
      </w:r>
    </w:p>
    <w:p w14:paraId="413E4A54" w14:textId="61FF952B" w:rsidR="002B3DDF" w:rsidRDefault="00A61996" w:rsidP="00104756">
      <w:pPr>
        <w:pStyle w:val="Lijstalinea"/>
        <w:ind w:left="567"/>
        <w:rPr>
          <w:rFonts w:asciiTheme="minorHAnsi" w:hAnsiTheme="minorHAnsi"/>
          <w:lang w:val="en-GB"/>
        </w:rPr>
      </w:pPr>
      <w:r w:rsidRPr="004D474A">
        <w:rPr>
          <w:rFonts w:asciiTheme="minorHAnsi" w:hAnsiTheme="minorHAnsi"/>
          <w:lang w:val="en-GB"/>
        </w:rPr>
        <w:t>24 months</w:t>
      </w:r>
    </w:p>
    <w:p w14:paraId="250A6FE9" w14:textId="77777777" w:rsidR="0002632D" w:rsidRPr="004D474A" w:rsidRDefault="0002632D" w:rsidP="00104756">
      <w:pPr>
        <w:pStyle w:val="Lijstalinea"/>
        <w:ind w:left="567"/>
        <w:rPr>
          <w:rFonts w:asciiTheme="minorHAnsi" w:hAnsiTheme="minorHAnsi"/>
          <w:lang w:val="en-GB"/>
        </w:rPr>
      </w:pPr>
    </w:p>
    <w:p w14:paraId="0DB6616B" w14:textId="77777777" w:rsidR="00AE30FE" w:rsidRPr="004D474A" w:rsidRDefault="00AE30FE" w:rsidP="00D64FEE">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Special precautions for storage</w:t>
      </w:r>
    </w:p>
    <w:p w14:paraId="28C404BD" w14:textId="1C73F698" w:rsidR="00173219" w:rsidRDefault="00173219" w:rsidP="00173219">
      <w:pPr>
        <w:pStyle w:val="Lijstalinea"/>
        <w:ind w:left="567"/>
        <w:rPr>
          <w:rFonts w:asciiTheme="minorHAnsi" w:hAnsiTheme="minorHAnsi"/>
          <w:lang w:val="en-GB"/>
        </w:rPr>
      </w:pPr>
      <w:r w:rsidRPr="004D474A">
        <w:rPr>
          <w:rFonts w:asciiTheme="minorHAnsi" w:hAnsiTheme="minorHAnsi"/>
          <w:lang w:val="en-GB"/>
        </w:rPr>
        <w:t>Store below 30°C</w:t>
      </w:r>
    </w:p>
    <w:p w14:paraId="27C7DA7F" w14:textId="77777777" w:rsidR="0002632D" w:rsidRPr="004D474A" w:rsidRDefault="0002632D" w:rsidP="00173219">
      <w:pPr>
        <w:pStyle w:val="Lijstalinea"/>
        <w:ind w:left="567"/>
        <w:rPr>
          <w:rFonts w:asciiTheme="minorHAnsi" w:hAnsiTheme="minorHAnsi"/>
          <w:lang w:val="en-GB"/>
        </w:rPr>
      </w:pPr>
    </w:p>
    <w:p w14:paraId="02F6895A" w14:textId="77777777" w:rsidR="00AE30FE" w:rsidRPr="004D474A" w:rsidRDefault="00AE30FE" w:rsidP="00D64FEE">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Nature and contents of container</w:t>
      </w:r>
    </w:p>
    <w:p w14:paraId="46FFE822" w14:textId="77777777" w:rsidR="00173219" w:rsidRPr="004D474A" w:rsidRDefault="00173219" w:rsidP="00173219">
      <w:pPr>
        <w:pStyle w:val="Lijstalinea"/>
        <w:ind w:left="426"/>
        <w:rPr>
          <w:rFonts w:asciiTheme="minorHAnsi" w:hAnsiTheme="minorHAnsi"/>
          <w:lang w:val="en-GB"/>
        </w:rPr>
      </w:pPr>
      <w:r w:rsidRPr="004D474A">
        <w:rPr>
          <w:rFonts w:asciiTheme="minorHAnsi" w:hAnsiTheme="minorHAnsi"/>
          <w:lang w:val="en-GB"/>
        </w:rPr>
        <w:t>The tablets are packaged in blisters consisting of transparent polyvinyl chloride (PVC) coated with polyethylene (PE)- polyvinyl chloride (PVDC) and aluminium foil.</w:t>
      </w:r>
    </w:p>
    <w:p w14:paraId="62794129" w14:textId="39148F8D" w:rsidR="00173219" w:rsidRDefault="00173219" w:rsidP="00173219">
      <w:pPr>
        <w:pStyle w:val="Lijstalinea"/>
        <w:ind w:left="426"/>
        <w:rPr>
          <w:rFonts w:asciiTheme="minorHAnsi" w:hAnsiTheme="minorHAnsi"/>
          <w:lang w:val="en-GB"/>
        </w:rPr>
      </w:pPr>
      <w:r w:rsidRPr="004D474A">
        <w:rPr>
          <w:rFonts w:asciiTheme="minorHAnsi" w:hAnsiTheme="minorHAnsi"/>
          <w:lang w:val="en-GB"/>
        </w:rPr>
        <w:t xml:space="preserve">The blisters are placed with </w:t>
      </w:r>
      <w:r w:rsidR="009B7CD9">
        <w:rPr>
          <w:rFonts w:asciiTheme="minorHAnsi" w:hAnsiTheme="minorHAnsi"/>
          <w:lang w:val="en-GB"/>
        </w:rPr>
        <w:t xml:space="preserve">patient information </w:t>
      </w:r>
      <w:r w:rsidRPr="004D474A">
        <w:rPr>
          <w:rFonts w:asciiTheme="minorHAnsi" w:hAnsiTheme="minorHAnsi"/>
          <w:lang w:val="en-GB"/>
        </w:rPr>
        <w:t>leaflet in cardboard box.</w:t>
      </w:r>
    </w:p>
    <w:p w14:paraId="64D3E3B8" w14:textId="7CF7173D" w:rsidR="0002632D" w:rsidRDefault="0002632D" w:rsidP="00173219">
      <w:pPr>
        <w:pStyle w:val="Lijstalinea"/>
        <w:ind w:left="426"/>
        <w:rPr>
          <w:rFonts w:asciiTheme="minorHAnsi" w:hAnsiTheme="minorHAnsi"/>
          <w:lang w:val="en-GB"/>
        </w:rPr>
      </w:pPr>
      <w:r>
        <w:rPr>
          <w:rFonts w:asciiTheme="minorHAnsi" w:hAnsiTheme="minorHAnsi"/>
          <w:lang w:val="en-GB"/>
        </w:rPr>
        <w:t>Box with 30 tablets.</w:t>
      </w:r>
    </w:p>
    <w:p w14:paraId="1A210803" w14:textId="003D0BF3" w:rsidR="0002632D" w:rsidRDefault="0002632D" w:rsidP="00173219">
      <w:pPr>
        <w:pStyle w:val="Lijstalinea"/>
        <w:ind w:left="426"/>
        <w:rPr>
          <w:rFonts w:asciiTheme="minorHAnsi" w:hAnsiTheme="minorHAnsi"/>
          <w:lang w:val="en-GB"/>
        </w:rPr>
      </w:pPr>
    </w:p>
    <w:p w14:paraId="410006E0" w14:textId="77777777" w:rsidR="0002632D" w:rsidRPr="004D474A" w:rsidRDefault="0002632D" w:rsidP="00173219">
      <w:pPr>
        <w:pStyle w:val="Lijstalinea"/>
        <w:ind w:left="426"/>
        <w:rPr>
          <w:rFonts w:asciiTheme="minorHAnsi" w:hAnsiTheme="minorHAnsi"/>
          <w:lang w:val="en-GB"/>
        </w:rPr>
      </w:pPr>
    </w:p>
    <w:p w14:paraId="60C5A672" w14:textId="77777777" w:rsidR="00AE30FE" w:rsidRPr="004D474A" w:rsidRDefault="00AE30FE" w:rsidP="00D64FEE">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Special precautions for disposal and other handlings</w:t>
      </w:r>
    </w:p>
    <w:p w14:paraId="0FBA637B" w14:textId="2E58531A" w:rsidR="002300BB" w:rsidRDefault="002300BB" w:rsidP="00173219">
      <w:pPr>
        <w:pStyle w:val="Lijstalinea"/>
        <w:ind w:left="567"/>
        <w:rPr>
          <w:rFonts w:asciiTheme="minorHAnsi" w:hAnsiTheme="minorHAnsi"/>
          <w:lang w:val="en-GB"/>
        </w:rPr>
      </w:pPr>
      <w:bookmarkStart w:id="8" w:name="_Hlk52876861"/>
      <w:r>
        <w:rPr>
          <w:rFonts w:asciiTheme="minorHAnsi" w:hAnsiTheme="minorHAnsi"/>
          <w:lang w:val="en-GB"/>
        </w:rPr>
        <w:t>No special requirement for disposal.</w:t>
      </w:r>
    </w:p>
    <w:bookmarkEnd w:id="8"/>
    <w:p w14:paraId="198F5A7A" w14:textId="43EDAAB3" w:rsidR="00173219" w:rsidRPr="004D474A" w:rsidRDefault="00173219" w:rsidP="00173219">
      <w:pPr>
        <w:pStyle w:val="Lijstalinea"/>
        <w:ind w:left="567"/>
        <w:rPr>
          <w:rFonts w:asciiTheme="minorHAnsi" w:hAnsiTheme="minorHAnsi"/>
          <w:b/>
          <w:lang w:val="en-GB"/>
        </w:rPr>
      </w:pPr>
      <w:r w:rsidRPr="004D474A">
        <w:rPr>
          <w:rFonts w:asciiTheme="minorHAnsi" w:hAnsiTheme="minorHAnsi"/>
          <w:lang w:val="en-GB"/>
        </w:rPr>
        <w:t>Any unused product or waste material should be disposed of in accordance with local requirements.</w:t>
      </w:r>
    </w:p>
    <w:p w14:paraId="2B8EC5D9" w14:textId="77777777" w:rsidR="00173219" w:rsidRPr="004D474A" w:rsidRDefault="00173219" w:rsidP="00173219">
      <w:pPr>
        <w:pStyle w:val="Lijstalinea"/>
        <w:ind w:left="0"/>
        <w:rPr>
          <w:rFonts w:asciiTheme="minorHAnsi" w:hAnsiTheme="minorHAnsi"/>
          <w:b/>
          <w:lang w:val="en-GB"/>
        </w:rPr>
      </w:pPr>
    </w:p>
    <w:p w14:paraId="1F48F345" w14:textId="77777777" w:rsidR="00AE30FE" w:rsidRPr="004D474A" w:rsidRDefault="00AE30FE" w:rsidP="00D64FEE">
      <w:pPr>
        <w:pStyle w:val="Lijstalinea"/>
        <w:numPr>
          <w:ilvl w:val="0"/>
          <w:numId w:val="12"/>
        </w:numPr>
        <w:ind w:left="567" w:hanging="851"/>
        <w:rPr>
          <w:rFonts w:asciiTheme="minorHAnsi" w:hAnsiTheme="minorHAnsi"/>
          <w:b/>
          <w:lang w:val="en-GB"/>
        </w:rPr>
      </w:pPr>
      <w:r w:rsidRPr="004D474A">
        <w:rPr>
          <w:rFonts w:asciiTheme="minorHAnsi" w:hAnsiTheme="minorHAnsi"/>
          <w:b/>
          <w:lang w:val="en-GB"/>
        </w:rPr>
        <w:t>MARKETING AUTHORISATION HOLDER AND MANUFACURING SITE ADDRESS</w:t>
      </w:r>
    </w:p>
    <w:p w14:paraId="4CA964F3" w14:textId="77777777" w:rsidR="00173219" w:rsidRPr="004D474A" w:rsidRDefault="00173219" w:rsidP="00173219">
      <w:pPr>
        <w:pStyle w:val="Lijstalinea"/>
        <w:ind w:left="567"/>
        <w:rPr>
          <w:rFonts w:asciiTheme="minorHAnsi" w:hAnsiTheme="minorHAnsi"/>
          <w:lang w:val="en-GB"/>
        </w:rPr>
      </w:pPr>
    </w:p>
    <w:p w14:paraId="199291AD" w14:textId="77777777" w:rsidR="002B3DDF" w:rsidRPr="004D474A" w:rsidRDefault="002B3DDF" w:rsidP="00D64FEE">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 xml:space="preserve"> Marketing Authorisation Holder</w:t>
      </w:r>
    </w:p>
    <w:p w14:paraId="26EB53B2" w14:textId="26AC5FAE" w:rsidR="002B3DDF" w:rsidRDefault="00A61996" w:rsidP="00173219">
      <w:pPr>
        <w:pStyle w:val="Lijstalinea"/>
        <w:ind w:left="567"/>
        <w:rPr>
          <w:rFonts w:asciiTheme="minorHAnsi" w:hAnsiTheme="minorHAnsi"/>
          <w:lang w:val="en-GB"/>
        </w:rPr>
      </w:pPr>
      <w:proofErr w:type="spellStart"/>
      <w:r w:rsidRPr="004D474A">
        <w:rPr>
          <w:rFonts w:asciiTheme="minorHAnsi" w:hAnsiTheme="minorHAnsi"/>
          <w:lang w:val="en-GB"/>
        </w:rPr>
        <w:t>Dafra</w:t>
      </w:r>
      <w:proofErr w:type="spellEnd"/>
      <w:r w:rsidRPr="004D474A">
        <w:rPr>
          <w:rFonts w:asciiTheme="minorHAnsi" w:hAnsiTheme="minorHAnsi"/>
          <w:lang w:val="en-GB"/>
        </w:rPr>
        <w:t xml:space="preserve"> Pharma GmbH, </w:t>
      </w:r>
      <w:proofErr w:type="spellStart"/>
      <w:r w:rsidRPr="004D474A">
        <w:rPr>
          <w:rFonts w:asciiTheme="minorHAnsi" w:hAnsiTheme="minorHAnsi"/>
          <w:lang w:val="en-GB"/>
        </w:rPr>
        <w:t>Mühlenberg</w:t>
      </w:r>
      <w:proofErr w:type="spellEnd"/>
      <w:r w:rsidRPr="004D474A">
        <w:rPr>
          <w:rFonts w:asciiTheme="minorHAnsi" w:hAnsiTheme="minorHAnsi"/>
          <w:lang w:val="en-GB"/>
        </w:rPr>
        <w:t xml:space="preserve"> 7, 4052 Basel, Switzerland</w:t>
      </w:r>
    </w:p>
    <w:p w14:paraId="3DDF6290" w14:textId="77777777" w:rsidR="00661EAB" w:rsidRPr="004D474A" w:rsidRDefault="00661EAB" w:rsidP="00173219">
      <w:pPr>
        <w:pStyle w:val="Lijstalinea"/>
        <w:ind w:left="567"/>
        <w:rPr>
          <w:rFonts w:asciiTheme="minorHAnsi" w:hAnsiTheme="minorHAnsi"/>
          <w:lang w:val="en-GB"/>
        </w:rPr>
      </w:pPr>
    </w:p>
    <w:p w14:paraId="2CF68FD5" w14:textId="77777777" w:rsidR="002B3DDF" w:rsidRPr="004D474A" w:rsidRDefault="002B3DDF" w:rsidP="00D64FEE">
      <w:pPr>
        <w:pStyle w:val="Lijstalinea"/>
        <w:numPr>
          <w:ilvl w:val="1"/>
          <w:numId w:val="12"/>
        </w:numPr>
        <w:ind w:left="567" w:hanging="851"/>
        <w:rPr>
          <w:rFonts w:asciiTheme="minorHAnsi" w:hAnsiTheme="minorHAnsi"/>
          <w:b/>
          <w:lang w:val="en-GB"/>
        </w:rPr>
      </w:pPr>
      <w:r w:rsidRPr="004D474A">
        <w:rPr>
          <w:rFonts w:asciiTheme="minorHAnsi" w:hAnsiTheme="minorHAnsi"/>
          <w:b/>
          <w:lang w:val="en-GB"/>
        </w:rPr>
        <w:t>Manufacturer</w:t>
      </w:r>
    </w:p>
    <w:p w14:paraId="09F8B2C0" w14:textId="77777777" w:rsidR="00173219" w:rsidRPr="004D474A" w:rsidRDefault="00173219" w:rsidP="00173219">
      <w:pPr>
        <w:pStyle w:val="Lijstalinea"/>
        <w:ind w:left="567"/>
        <w:rPr>
          <w:rFonts w:asciiTheme="minorHAnsi" w:hAnsiTheme="minorHAnsi"/>
          <w:lang w:val="en-GB"/>
        </w:rPr>
      </w:pPr>
      <w:proofErr w:type="spellStart"/>
      <w:r w:rsidRPr="004D474A">
        <w:rPr>
          <w:rFonts w:asciiTheme="minorHAnsi" w:hAnsiTheme="minorHAnsi"/>
          <w:lang w:val="en-GB"/>
        </w:rPr>
        <w:t>Bilim</w:t>
      </w:r>
      <w:proofErr w:type="spellEnd"/>
      <w:r w:rsidRPr="004D474A">
        <w:rPr>
          <w:rFonts w:asciiTheme="minorHAnsi" w:hAnsiTheme="minorHAnsi"/>
          <w:lang w:val="en-GB"/>
        </w:rPr>
        <w:t xml:space="preserve"> Pharmaceuticals, GOSB, 1900 Sokak, No: 1904, 41480 </w:t>
      </w:r>
      <w:proofErr w:type="spellStart"/>
      <w:r w:rsidRPr="004D474A">
        <w:rPr>
          <w:rFonts w:asciiTheme="minorHAnsi" w:hAnsiTheme="minorHAnsi"/>
          <w:lang w:val="en-GB"/>
        </w:rPr>
        <w:t>Gebze</w:t>
      </w:r>
      <w:proofErr w:type="spellEnd"/>
      <w:r w:rsidRPr="004D474A">
        <w:rPr>
          <w:rFonts w:asciiTheme="minorHAnsi" w:hAnsiTheme="minorHAnsi"/>
          <w:lang w:val="en-GB"/>
        </w:rPr>
        <w:t xml:space="preserve">, </w:t>
      </w:r>
      <w:proofErr w:type="spellStart"/>
      <w:r w:rsidRPr="004D474A">
        <w:rPr>
          <w:rFonts w:asciiTheme="minorHAnsi" w:hAnsiTheme="minorHAnsi"/>
          <w:lang w:val="en-GB"/>
        </w:rPr>
        <w:t>Kocaeli</w:t>
      </w:r>
      <w:proofErr w:type="spellEnd"/>
      <w:r w:rsidRPr="004D474A">
        <w:rPr>
          <w:rFonts w:asciiTheme="minorHAnsi" w:hAnsiTheme="minorHAnsi"/>
          <w:lang w:val="en-GB"/>
        </w:rPr>
        <w:t>/Turkey</w:t>
      </w:r>
    </w:p>
    <w:p w14:paraId="24EE3775" w14:textId="77777777" w:rsidR="00173219" w:rsidRPr="004D474A" w:rsidRDefault="00173219" w:rsidP="00173219">
      <w:pPr>
        <w:pStyle w:val="Lijstalinea"/>
        <w:ind w:left="0"/>
        <w:rPr>
          <w:rFonts w:asciiTheme="minorHAnsi" w:hAnsiTheme="minorHAnsi"/>
          <w:b/>
          <w:lang w:val="en-GB"/>
        </w:rPr>
      </w:pPr>
    </w:p>
    <w:p w14:paraId="61D256D3" w14:textId="77777777" w:rsidR="00C42FA1" w:rsidRPr="004D474A" w:rsidRDefault="00C42FA1" w:rsidP="00D64FEE">
      <w:pPr>
        <w:pStyle w:val="Lijstalinea"/>
        <w:numPr>
          <w:ilvl w:val="0"/>
          <w:numId w:val="12"/>
        </w:numPr>
        <w:ind w:left="567" w:hanging="851"/>
        <w:rPr>
          <w:rFonts w:asciiTheme="minorHAnsi" w:hAnsiTheme="minorHAnsi"/>
          <w:b/>
          <w:lang w:val="en-GB"/>
        </w:rPr>
      </w:pPr>
      <w:r w:rsidRPr="004D474A">
        <w:rPr>
          <w:rFonts w:asciiTheme="minorHAnsi" w:hAnsiTheme="minorHAnsi"/>
          <w:b/>
          <w:lang w:val="en-GB"/>
        </w:rPr>
        <w:t>MARKETING AUHORISATION NUMBER</w:t>
      </w:r>
    </w:p>
    <w:p w14:paraId="5D59B5E4" w14:textId="2E438CC7" w:rsidR="00C42FA1" w:rsidRDefault="00C42FA1" w:rsidP="00173219">
      <w:pPr>
        <w:pStyle w:val="Lijstalinea"/>
        <w:ind w:left="567"/>
        <w:rPr>
          <w:rFonts w:asciiTheme="minorHAnsi" w:hAnsiTheme="minorHAnsi"/>
          <w:lang w:val="en-GB"/>
        </w:rPr>
      </w:pPr>
      <w:r w:rsidRPr="004D474A">
        <w:rPr>
          <w:rFonts w:asciiTheme="minorHAnsi" w:hAnsiTheme="minorHAnsi"/>
          <w:lang w:val="en-GB"/>
        </w:rPr>
        <w:t>See list of MAs per country</w:t>
      </w:r>
    </w:p>
    <w:p w14:paraId="707C6D74" w14:textId="77777777" w:rsidR="0002632D" w:rsidRPr="004D474A" w:rsidRDefault="0002632D" w:rsidP="00173219">
      <w:pPr>
        <w:pStyle w:val="Lijstalinea"/>
        <w:ind w:left="567"/>
        <w:rPr>
          <w:rFonts w:asciiTheme="minorHAnsi" w:hAnsiTheme="minorHAnsi"/>
          <w:lang w:val="en-GB"/>
        </w:rPr>
      </w:pPr>
    </w:p>
    <w:p w14:paraId="55A3D27B" w14:textId="77777777" w:rsidR="00C42FA1" w:rsidRPr="004D474A" w:rsidRDefault="00C42FA1" w:rsidP="00D64FEE">
      <w:pPr>
        <w:pStyle w:val="Lijstalinea"/>
        <w:numPr>
          <w:ilvl w:val="0"/>
          <w:numId w:val="12"/>
        </w:numPr>
        <w:ind w:left="567" w:hanging="851"/>
        <w:rPr>
          <w:rFonts w:asciiTheme="minorHAnsi" w:hAnsiTheme="minorHAnsi"/>
          <w:b/>
          <w:lang w:val="en-GB"/>
        </w:rPr>
      </w:pPr>
      <w:r w:rsidRPr="004D474A">
        <w:rPr>
          <w:rFonts w:asciiTheme="minorHAnsi" w:hAnsiTheme="minorHAnsi"/>
          <w:b/>
          <w:lang w:val="en-GB"/>
        </w:rPr>
        <w:t xml:space="preserve">DATE OF FIRST REGISTRATION </w:t>
      </w:r>
    </w:p>
    <w:p w14:paraId="08CE8CAF" w14:textId="70800010" w:rsidR="00C42FA1" w:rsidRDefault="00C42FA1" w:rsidP="00173219">
      <w:pPr>
        <w:pStyle w:val="Lijstalinea"/>
        <w:ind w:left="567"/>
        <w:rPr>
          <w:rFonts w:asciiTheme="minorHAnsi" w:hAnsiTheme="minorHAnsi"/>
          <w:lang w:val="en-GB"/>
        </w:rPr>
      </w:pPr>
      <w:r w:rsidRPr="004D474A">
        <w:rPr>
          <w:rFonts w:asciiTheme="minorHAnsi" w:hAnsiTheme="minorHAnsi"/>
          <w:lang w:val="en-GB"/>
        </w:rPr>
        <w:t>See list of MAs per country</w:t>
      </w:r>
    </w:p>
    <w:p w14:paraId="798F48A4" w14:textId="77777777" w:rsidR="0002632D" w:rsidRPr="004D474A" w:rsidRDefault="0002632D" w:rsidP="00173219">
      <w:pPr>
        <w:pStyle w:val="Lijstalinea"/>
        <w:ind w:left="567"/>
        <w:rPr>
          <w:rFonts w:asciiTheme="minorHAnsi" w:hAnsiTheme="minorHAnsi"/>
          <w:lang w:val="en-GB"/>
        </w:rPr>
      </w:pPr>
    </w:p>
    <w:p w14:paraId="76F7BA70" w14:textId="77777777" w:rsidR="00EA7F33" w:rsidRPr="004D474A" w:rsidRDefault="00EA7F33" w:rsidP="00D64FEE">
      <w:pPr>
        <w:pStyle w:val="Lijstalinea"/>
        <w:numPr>
          <w:ilvl w:val="0"/>
          <w:numId w:val="12"/>
        </w:numPr>
        <w:ind w:left="567" w:hanging="851"/>
        <w:rPr>
          <w:rFonts w:asciiTheme="minorHAnsi" w:hAnsiTheme="minorHAnsi"/>
          <w:b/>
          <w:lang w:val="en-GB"/>
        </w:rPr>
      </w:pPr>
      <w:r w:rsidRPr="004D474A">
        <w:rPr>
          <w:rFonts w:asciiTheme="minorHAnsi" w:hAnsiTheme="minorHAnsi"/>
          <w:b/>
          <w:lang w:val="en-GB"/>
        </w:rPr>
        <w:t>DATE OF REVISION OF TEXT</w:t>
      </w:r>
    </w:p>
    <w:p w14:paraId="18B8429E" w14:textId="6EB4C627" w:rsidR="00173219" w:rsidRPr="004D474A" w:rsidRDefault="0002632D" w:rsidP="00173219">
      <w:pPr>
        <w:pStyle w:val="Lijstalinea"/>
        <w:ind w:left="567"/>
        <w:rPr>
          <w:rFonts w:asciiTheme="minorHAnsi" w:hAnsiTheme="minorHAnsi"/>
          <w:lang w:val="en-GB"/>
        </w:rPr>
      </w:pPr>
      <w:r>
        <w:rPr>
          <w:rFonts w:asciiTheme="minorHAnsi" w:hAnsiTheme="minorHAnsi"/>
          <w:lang w:val="en-GB"/>
        </w:rPr>
        <w:t>October 2020</w:t>
      </w:r>
    </w:p>
    <w:sectPr w:rsidR="00173219" w:rsidRPr="004D474A" w:rsidSect="00104756">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0E654" w14:textId="77777777" w:rsidR="00671133" w:rsidRDefault="00671133" w:rsidP="000A2791">
      <w:pPr>
        <w:spacing w:after="0" w:line="240" w:lineRule="auto"/>
      </w:pPr>
      <w:r>
        <w:separator/>
      </w:r>
    </w:p>
  </w:endnote>
  <w:endnote w:type="continuationSeparator" w:id="0">
    <w:p w14:paraId="6E6C0A81" w14:textId="77777777" w:rsidR="00671133" w:rsidRDefault="00671133" w:rsidP="000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E0486" w14:textId="5CCFDFCA" w:rsidR="00780D2D" w:rsidRPr="00D62015" w:rsidRDefault="00D62015" w:rsidP="00780D2D">
    <w:pPr>
      <w:pStyle w:val="Voettekst"/>
      <w:pBdr>
        <w:top w:val="single" w:sz="4" w:space="1" w:color="auto"/>
      </w:pBdr>
      <w:rPr>
        <w:rFonts w:asciiTheme="minorHAnsi" w:hAnsiTheme="minorHAnsi" w:cstheme="minorHAnsi"/>
        <w:sz w:val="22"/>
        <w:szCs w:val="22"/>
        <w:lang w:val="nl-NL"/>
      </w:rPr>
    </w:pPr>
    <w:r>
      <w:rPr>
        <w:rFonts w:asciiTheme="minorHAnsi" w:hAnsiTheme="minorHAnsi" w:cstheme="minorHAnsi"/>
        <w:sz w:val="22"/>
        <w:szCs w:val="22"/>
        <w:lang w:val="nl-NL"/>
      </w:rPr>
      <w:t>DP 10/2020</w:t>
    </w:r>
    <w:r w:rsidR="00780D2D" w:rsidRPr="00D62015">
      <w:rPr>
        <w:rFonts w:asciiTheme="minorHAnsi" w:hAnsiTheme="minorHAnsi" w:cstheme="minorHAnsi"/>
        <w:sz w:val="22"/>
        <w:szCs w:val="22"/>
        <w:lang w:val="nl-NL"/>
      </w:rPr>
      <w:ptab w:relativeTo="margin" w:alignment="center" w:leader="none"/>
    </w:r>
    <w:r w:rsidR="00780D2D" w:rsidRPr="00D62015">
      <w:rPr>
        <w:rFonts w:asciiTheme="minorHAnsi" w:hAnsiTheme="minorHAnsi" w:cstheme="minorHAnsi"/>
        <w:sz w:val="22"/>
        <w:szCs w:val="22"/>
        <w:lang w:val="nl-NL"/>
      </w:rPr>
      <w:ptab w:relativeTo="margin" w:alignment="right" w:leader="none"/>
    </w:r>
    <w:r w:rsidR="00780D2D" w:rsidRPr="00D62015">
      <w:rPr>
        <w:rFonts w:asciiTheme="minorHAnsi" w:hAnsiTheme="minorHAnsi" w:cstheme="minorHAnsi"/>
        <w:sz w:val="22"/>
        <w:szCs w:val="22"/>
        <w:lang w:val="nl-NL"/>
      </w:rPr>
      <w:t xml:space="preserve">Page </w:t>
    </w:r>
    <w:r w:rsidR="00780D2D" w:rsidRPr="00D62015">
      <w:rPr>
        <w:rFonts w:asciiTheme="minorHAnsi" w:hAnsiTheme="minorHAnsi" w:cstheme="minorHAnsi"/>
        <w:b/>
        <w:sz w:val="22"/>
        <w:szCs w:val="22"/>
        <w:lang w:val="nl-NL"/>
      </w:rPr>
      <w:fldChar w:fldCharType="begin"/>
    </w:r>
    <w:r w:rsidR="00780D2D" w:rsidRPr="00D62015">
      <w:rPr>
        <w:rFonts w:asciiTheme="minorHAnsi" w:hAnsiTheme="minorHAnsi" w:cstheme="minorHAnsi"/>
        <w:b/>
        <w:sz w:val="22"/>
        <w:szCs w:val="22"/>
        <w:lang w:val="nl-NL"/>
      </w:rPr>
      <w:instrText>PAGE  \* Arabic  \* MERGEFORMAT</w:instrText>
    </w:r>
    <w:r w:rsidR="00780D2D" w:rsidRPr="00D62015">
      <w:rPr>
        <w:rFonts w:asciiTheme="minorHAnsi" w:hAnsiTheme="minorHAnsi" w:cstheme="minorHAnsi"/>
        <w:b/>
        <w:sz w:val="22"/>
        <w:szCs w:val="22"/>
        <w:lang w:val="nl-NL"/>
      </w:rPr>
      <w:fldChar w:fldCharType="separate"/>
    </w:r>
    <w:r w:rsidR="009B7CD9" w:rsidRPr="00D62015">
      <w:rPr>
        <w:rFonts w:asciiTheme="minorHAnsi" w:hAnsiTheme="minorHAnsi" w:cstheme="minorHAnsi"/>
        <w:b/>
        <w:noProof/>
        <w:sz w:val="22"/>
        <w:szCs w:val="22"/>
        <w:lang w:val="nl-NL"/>
      </w:rPr>
      <w:t>13</w:t>
    </w:r>
    <w:r w:rsidR="00780D2D" w:rsidRPr="00D62015">
      <w:rPr>
        <w:rFonts w:asciiTheme="minorHAnsi" w:hAnsiTheme="minorHAnsi" w:cstheme="minorHAnsi"/>
        <w:b/>
        <w:sz w:val="22"/>
        <w:szCs w:val="22"/>
        <w:lang w:val="nl-NL"/>
      </w:rPr>
      <w:fldChar w:fldCharType="end"/>
    </w:r>
    <w:r w:rsidR="00780D2D" w:rsidRPr="00D62015">
      <w:rPr>
        <w:rFonts w:asciiTheme="minorHAnsi" w:hAnsiTheme="minorHAnsi" w:cstheme="minorHAnsi"/>
        <w:sz w:val="22"/>
        <w:szCs w:val="22"/>
        <w:lang w:val="nl-NL"/>
      </w:rPr>
      <w:t xml:space="preserve"> of </w:t>
    </w:r>
    <w:r w:rsidR="00780D2D" w:rsidRPr="00D62015">
      <w:rPr>
        <w:rFonts w:asciiTheme="minorHAnsi" w:hAnsiTheme="minorHAnsi" w:cstheme="minorHAnsi"/>
        <w:b/>
        <w:sz w:val="22"/>
        <w:szCs w:val="22"/>
        <w:lang w:val="nl-NL"/>
      </w:rPr>
      <w:fldChar w:fldCharType="begin"/>
    </w:r>
    <w:r w:rsidR="00780D2D" w:rsidRPr="00D62015">
      <w:rPr>
        <w:rFonts w:asciiTheme="minorHAnsi" w:hAnsiTheme="minorHAnsi" w:cstheme="minorHAnsi"/>
        <w:b/>
        <w:sz w:val="22"/>
        <w:szCs w:val="22"/>
        <w:lang w:val="nl-NL"/>
      </w:rPr>
      <w:instrText>NUMPAGES  \* Arabic  \* MERGEFORMAT</w:instrText>
    </w:r>
    <w:r w:rsidR="00780D2D" w:rsidRPr="00D62015">
      <w:rPr>
        <w:rFonts w:asciiTheme="minorHAnsi" w:hAnsiTheme="minorHAnsi" w:cstheme="minorHAnsi"/>
        <w:b/>
        <w:sz w:val="22"/>
        <w:szCs w:val="22"/>
        <w:lang w:val="nl-NL"/>
      </w:rPr>
      <w:fldChar w:fldCharType="separate"/>
    </w:r>
    <w:r w:rsidR="009B7CD9" w:rsidRPr="00D62015">
      <w:rPr>
        <w:rFonts w:asciiTheme="minorHAnsi" w:hAnsiTheme="minorHAnsi" w:cstheme="minorHAnsi"/>
        <w:b/>
        <w:noProof/>
        <w:sz w:val="22"/>
        <w:szCs w:val="22"/>
        <w:lang w:val="nl-NL"/>
      </w:rPr>
      <w:t>13</w:t>
    </w:r>
    <w:r w:rsidR="00780D2D" w:rsidRPr="00D62015">
      <w:rPr>
        <w:rFonts w:asciiTheme="minorHAnsi" w:hAnsiTheme="minorHAnsi" w:cstheme="minorHAnsi"/>
        <w:b/>
        <w:sz w:val="22"/>
        <w:szCs w:val="22"/>
        <w:lang w:val="nl-NL"/>
      </w:rPr>
      <w:fldChar w:fldCharType="end"/>
    </w:r>
  </w:p>
  <w:p w14:paraId="7FC06729" w14:textId="77777777" w:rsidR="00780D2D" w:rsidRDefault="00780D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7AAD0" w14:textId="77777777" w:rsidR="00671133" w:rsidRDefault="00671133" w:rsidP="000A2791">
      <w:pPr>
        <w:spacing w:after="0" w:line="240" w:lineRule="auto"/>
      </w:pPr>
      <w:r>
        <w:separator/>
      </w:r>
    </w:p>
  </w:footnote>
  <w:footnote w:type="continuationSeparator" w:id="0">
    <w:p w14:paraId="0005AC2B" w14:textId="77777777" w:rsidR="00671133" w:rsidRDefault="00671133" w:rsidP="000A2791">
      <w:pPr>
        <w:spacing w:after="0" w:line="240" w:lineRule="auto"/>
      </w:pPr>
      <w:r>
        <w:continuationSeparator/>
      </w:r>
    </w:p>
  </w:footnote>
  <w:footnote w:id="1">
    <w:p w14:paraId="455AF0CD" w14:textId="1978AF5C" w:rsidR="0084621B" w:rsidRPr="0084621B" w:rsidRDefault="0084621B">
      <w:pPr>
        <w:pStyle w:val="Voetnoottekst"/>
        <w:rPr>
          <w:lang w:val="nl-BE"/>
        </w:rPr>
      </w:pPr>
      <w:r>
        <w:rPr>
          <w:rStyle w:val="Voetnootmarkering"/>
        </w:rPr>
        <w:footnoteRef/>
      </w:r>
      <w:r>
        <w:t xml:space="preserve"> </w:t>
      </w:r>
      <w:bookmarkStart w:id="0" w:name="_Hlk52876400"/>
      <w:r w:rsidRPr="0084621B">
        <w:rPr>
          <w:rFonts w:asciiTheme="minorHAnsi" w:hAnsiTheme="minorHAnsi" w:cstheme="minorHAnsi"/>
          <w:lang w:val="nl-BE"/>
        </w:rPr>
        <w:t>DC</w:t>
      </w:r>
      <w:r>
        <w:rPr>
          <w:rFonts w:asciiTheme="minorHAnsi" w:hAnsiTheme="minorHAnsi" w:cstheme="minorHAnsi"/>
          <w:lang w:val="nl-BE"/>
        </w:rPr>
        <w:t xml:space="preserve"> </w:t>
      </w:r>
      <w:proofErr w:type="spellStart"/>
      <w:r>
        <w:rPr>
          <w:rFonts w:asciiTheme="minorHAnsi" w:hAnsiTheme="minorHAnsi" w:cstheme="minorHAnsi"/>
          <w:lang w:val="nl-BE"/>
        </w:rPr>
        <w:t>granules</w:t>
      </w:r>
      <w:proofErr w:type="spellEnd"/>
      <w:r>
        <w:rPr>
          <w:rFonts w:asciiTheme="minorHAnsi" w:hAnsiTheme="minorHAnsi" w:cstheme="minorHAnsi"/>
          <w:lang w:val="nl-BE"/>
        </w:rPr>
        <w:t>=</w:t>
      </w:r>
      <w:r w:rsidRPr="0084621B">
        <w:rPr>
          <w:rFonts w:asciiTheme="minorHAnsi" w:hAnsiTheme="minorHAnsi" w:cstheme="minorHAnsi"/>
          <w:lang w:val="en-GB"/>
        </w:rPr>
        <w:t xml:space="preserve"> granules for direct compression</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DB214" w14:textId="05C65A8C" w:rsidR="00780D2D" w:rsidRPr="008B1E32" w:rsidRDefault="00780D2D" w:rsidP="00780D2D">
    <w:pPr>
      <w:pStyle w:val="Koptekst"/>
      <w:rPr>
        <w:rFonts w:asciiTheme="minorHAnsi" w:hAnsiTheme="minorHAnsi" w:cstheme="minorHAnsi"/>
        <w:sz w:val="22"/>
        <w:szCs w:val="22"/>
        <w:u w:val="single"/>
        <w:lang w:val="nl-NL"/>
      </w:rPr>
    </w:pPr>
    <w:proofErr w:type="spellStart"/>
    <w:r w:rsidRPr="008B1E32">
      <w:rPr>
        <w:rFonts w:asciiTheme="minorHAnsi" w:hAnsiTheme="minorHAnsi" w:cstheme="minorHAnsi"/>
        <w:sz w:val="22"/>
        <w:szCs w:val="22"/>
        <w:u w:val="single"/>
      </w:rPr>
      <w:t>Dafra</w:t>
    </w:r>
    <w:proofErr w:type="spellEnd"/>
    <w:r w:rsidRPr="008B1E32">
      <w:rPr>
        <w:rFonts w:asciiTheme="minorHAnsi" w:hAnsiTheme="minorHAnsi" w:cstheme="minorHAnsi"/>
        <w:sz w:val="22"/>
        <w:szCs w:val="22"/>
        <w:u w:val="single"/>
      </w:rPr>
      <w:t xml:space="preserve"> Pharma</w:t>
    </w:r>
    <w:r w:rsidRPr="008B1E32">
      <w:rPr>
        <w:rFonts w:asciiTheme="minorHAnsi" w:hAnsiTheme="minorHAnsi" w:cstheme="minorHAnsi"/>
        <w:sz w:val="22"/>
        <w:szCs w:val="22"/>
        <w:u w:val="single"/>
      </w:rPr>
      <w:ptab w:relativeTo="margin" w:alignment="center" w:leader="none"/>
    </w:r>
    <w:r>
      <w:rPr>
        <w:rFonts w:asciiTheme="minorHAnsi" w:hAnsiTheme="minorHAnsi" w:cstheme="minorHAnsi"/>
        <w:sz w:val="22"/>
        <w:szCs w:val="22"/>
        <w:u w:val="single"/>
      </w:rPr>
      <w:t>SmPC</w:t>
    </w:r>
    <w:r w:rsidRPr="008B1E32">
      <w:rPr>
        <w:rFonts w:asciiTheme="minorHAnsi" w:hAnsiTheme="minorHAnsi" w:cstheme="minorHAnsi"/>
        <w:sz w:val="22"/>
        <w:szCs w:val="22"/>
        <w:u w:val="single"/>
      </w:rPr>
      <w:ptab w:relativeTo="margin" w:alignment="right" w:leader="none"/>
    </w:r>
    <w:r>
      <w:rPr>
        <w:rFonts w:asciiTheme="minorHAnsi" w:hAnsiTheme="minorHAnsi" w:cstheme="minorHAnsi"/>
        <w:sz w:val="22"/>
        <w:szCs w:val="22"/>
        <w:u w:val="single"/>
      </w:rPr>
      <w:t>GLYFERON</w:t>
    </w:r>
    <w:r w:rsidR="0059323B">
      <w:rPr>
        <w:rFonts w:asciiTheme="minorHAnsi" w:hAnsiTheme="minorHAnsi" w:cstheme="minorHAnsi"/>
        <w:sz w:val="22"/>
        <w:szCs w:val="22"/>
        <w:u w:val="single"/>
      </w:rPr>
      <w:t>®</w:t>
    </w:r>
    <w:r>
      <w:rPr>
        <w:rFonts w:asciiTheme="minorHAnsi" w:hAnsiTheme="minorHAnsi" w:cstheme="minorHAnsi"/>
        <w:sz w:val="22"/>
        <w:szCs w:val="22"/>
        <w:u w:val="single"/>
      </w:rPr>
      <w:t xml:space="preserve"> </w:t>
    </w:r>
    <w:r w:rsidR="004F6216">
      <w:rPr>
        <w:rFonts w:asciiTheme="minorHAnsi" w:hAnsiTheme="minorHAnsi" w:cstheme="minorHAnsi"/>
        <w:sz w:val="22"/>
        <w:szCs w:val="22"/>
        <w:u w:val="single"/>
      </w:rPr>
      <w:t>100</w:t>
    </w:r>
    <w:r>
      <w:rPr>
        <w:rFonts w:asciiTheme="minorHAnsi" w:hAnsiTheme="minorHAnsi" w:cstheme="minorHAnsi"/>
        <w:sz w:val="22"/>
        <w:szCs w:val="22"/>
        <w:u w:val="single"/>
      </w:rPr>
      <w:t>0</w:t>
    </w:r>
  </w:p>
  <w:p w14:paraId="0EE57EB0" w14:textId="77777777" w:rsidR="00780D2D" w:rsidRDefault="00780D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72C98"/>
    <w:multiLevelType w:val="hybridMultilevel"/>
    <w:tmpl w:val="DE1C5186"/>
    <w:lvl w:ilvl="0" w:tplc="EA7AFAC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66CD0"/>
    <w:multiLevelType w:val="multilevel"/>
    <w:tmpl w:val="0809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FD14A1"/>
    <w:multiLevelType w:val="multilevel"/>
    <w:tmpl w:val="4560CC0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5230D7"/>
    <w:multiLevelType w:val="hybridMultilevel"/>
    <w:tmpl w:val="D70450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DD825BE"/>
    <w:multiLevelType w:val="hybridMultilevel"/>
    <w:tmpl w:val="B406D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14A32"/>
    <w:multiLevelType w:val="hybridMultilevel"/>
    <w:tmpl w:val="1B16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D3A27"/>
    <w:multiLevelType w:val="hybridMultilevel"/>
    <w:tmpl w:val="4C720A9E"/>
    <w:lvl w:ilvl="0" w:tplc="EA7AFAC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D1794"/>
    <w:multiLevelType w:val="hybridMultilevel"/>
    <w:tmpl w:val="74E0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B4A07"/>
    <w:multiLevelType w:val="hybridMultilevel"/>
    <w:tmpl w:val="67D2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155B3"/>
    <w:multiLevelType w:val="hybridMultilevel"/>
    <w:tmpl w:val="F5602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7137F"/>
    <w:multiLevelType w:val="hybridMultilevel"/>
    <w:tmpl w:val="60ECC436"/>
    <w:lvl w:ilvl="0" w:tplc="EA7AFAC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8037DC"/>
    <w:multiLevelType w:val="multilevel"/>
    <w:tmpl w:val="77FC8BF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F5C43B8"/>
    <w:multiLevelType w:val="hybridMultilevel"/>
    <w:tmpl w:val="5AC6DC4C"/>
    <w:lvl w:ilvl="0" w:tplc="EA7AFAC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633C7"/>
    <w:multiLevelType w:val="hybridMultilevel"/>
    <w:tmpl w:val="1082A988"/>
    <w:lvl w:ilvl="0" w:tplc="EA7AFAC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126F07"/>
    <w:multiLevelType w:val="multilevel"/>
    <w:tmpl w:val="7D800264"/>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131FE5"/>
    <w:multiLevelType w:val="multilevel"/>
    <w:tmpl w:val="08090025"/>
    <w:styleLink w:val="Stij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E0C3A28"/>
    <w:multiLevelType w:val="hybridMultilevel"/>
    <w:tmpl w:val="8E30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897863"/>
    <w:multiLevelType w:val="multilevel"/>
    <w:tmpl w:val="10E46C12"/>
    <w:lvl w:ilvl="0">
      <w:start w:val="1"/>
      <w:numFmt w:val="decimal"/>
      <w:pStyle w:val="Kop1"/>
      <w:lvlText w:val="3.2.S.4.%1."/>
      <w:lvlJc w:val="left"/>
      <w:pPr>
        <w:tabs>
          <w:tab w:val="num" w:pos="716"/>
        </w:tabs>
        <w:ind w:left="716" w:hanging="432"/>
      </w:pPr>
      <w:rPr>
        <w:rFonts w:hint="default"/>
      </w:rPr>
    </w:lvl>
    <w:lvl w:ilvl="1">
      <w:start w:val="1"/>
      <w:numFmt w:val="decimal"/>
      <w:pStyle w:val="Kop2"/>
      <w:lvlText w:val="3.2.S.4.%1.%2"/>
      <w:lvlJc w:val="left"/>
      <w:pPr>
        <w:tabs>
          <w:tab w:val="num" w:pos="4687"/>
        </w:tabs>
        <w:ind w:left="4687" w:hanging="576"/>
      </w:pPr>
      <w:rPr>
        <w:rFonts w:hint="default"/>
      </w:rPr>
    </w:lvl>
    <w:lvl w:ilvl="2">
      <w:start w:val="1"/>
      <w:numFmt w:val="decimal"/>
      <w:pStyle w:val="Kop3"/>
      <w:lvlText w:val="3.2.S.4.%1.%2.%3"/>
      <w:lvlJc w:val="left"/>
      <w:pPr>
        <w:tabs>
          <w:tab w:val="num" w:pos="4831"/>
        </w:tabs>
        <w:ind w:left="4831" w:hanging="720"/>
      </w:pPr>
      <w:rPr>
        <w:rFonts w:hint="default"/>
      </w:rPr>
    </w:lvl>
    <w:lvl w:ilvl="3">
      <w:start w:val="1"/>
      <w:numFmt w:val="decimal"/>
      <w:pStyle w:val="Kop4"/>
      <w:lvlText w:val="3.2.S.4.%1.%2.%3.%4"/>
      <w:lvlJc w:val="left"/>
      <w:pPr>
        <w:tabs>
          <w:tab w:val="num" w:pos="4975"/>
        </w:tabs>
        <w:ind w:left="4975" w:hanging="864"/>
      </w:pPr>
      <w:rPr>
        <w:rFonts w:hint="default"/>
      </w:rPr>
    </w:lvl>
    <w:lvl w:ilvl="4">
      <w:start w:val="1"/>
      <w:numFmt w:val="decimal"/>
      <w:pStyle w:val="Kop5"/>
      <w:lvlText w:val="3.2.S.4.%1.%2.%3.%4.%5"/>
      <w:lvlJc w:val="left"/>
      <w:pPr>
        <w:tabs>
          <w:tab w:val="num" w:pos="5119"/>
        </w:tabs>
        <w:ind w:left="5119" w:hanging="1008"/>
      </w:pPr>
      <w:rPr>
        <w:rFonts w:hint="default"/>
      </w:rPr>
    </w:lvl>
    <w:lvl w:ilvl="5">
      <w:start w:val="1"/>
      <w:numFmt w:val="decimal"/>
      <w:pStyle w:val="Kop6"/>
      <w:lvlText w:val="3.2.S.4.%1.%2.%3.%4.%5.%6"/>
      <w:lvlJc w:val="left"/>
      <w:pPr>
        <w:tabs>
          <w:tab w:val="num" w:pos="5263"/>
        </w:tabs>
        <w:ind w:left="5263" w:hanging="1152"/>
      </w:pPr>
      <w:rPr>
        <w:rFonts w:hint="default"/>
      </w:rPr>
    </w:lvl>
    <w:lvl w:ilvl="6">
      <w:start w:val="1"/>
      <w:numFmt w:val="decimal"/>
      <w:pStyle w:val="Kop7"/>
      <w:lvlText w:val="3.2.S.4.%1.%2.%3.%4.%5.%6.%7"/>
      <w:lvlJc w:val="left"/>
      <w:pPr>
        <w:tabs>
          <w:tab w:val="num" w:pos="5407"/>
        </w:tabs>
        <w:ind w:left="5407" w:hanging="1296"/>
      </w:pPr>
      <w:rPr>
        <w:rFonts w:hint="default"/>
      </w:rPr>
    </w:lvl>
    <w:lvl w:ilvl="7">
      <w:start w:val="1"/>
      <w:numFmt w:val="decimal"/>
      <w:pStyle w:val="Kop8"/>
      <w:lvlText w:val="3.2.S.4.%1.%2.%3.%4.%5.%6.%7.%8"/>
      <w:lvlJc w:val="left"/>
      <w:pPr>
        <w:tabs>
          <w:tab w:val="num" w:pos="5551"/>
        </w:tabs>
        <w:ind w:left="5551" w:hanging="1440"/>
      </w:pPr>
      <w:rPr>
        <w:rFonts w:hint="default"/>
      </w:rPr>
    </w:lvl>
    <w:lvl w:ilvl="8">
      <w:start w:val="1"/>
      <w:numFmt w:val="decimal"/>
      <w:pStyle w:val="Kop9"/>
      <w:lvlText w:val="3.2.S.4.%1.%2.%3.%4.%5.%6.%7.%8.%9"/>
      <w:lvlJc w:val="left"/>
      <w:pPr>
        <w:tabs>
          <w:tab w:val="num" w:pos="5695"/>
        </w:tabs>
        <w:ind w:left="5695" w:hanging="1584"/>
      </w:pPr>
      <w:rPr>
        <w:rFonts w:hint="default"/>
      </w:rPr>
    </w:lvl>
  </w:abstractNum>
  <w:abstractNum w:abstractNumId="18" w15:restartNumberingAfterBreak="0">
    <w:nsid w:val="6BD64B70"/>
    <w:multiLevelType w:val="hybridMultilevel"/>
    <w:tmpl w:val="BF1A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D41B5"/>
    <w:multiLevelType w:val="hybridMultilevel"/>
    <w:tmpl w:val="1A429FFE"/>
    <w:lvl w:ilvl="0" w:tplc="EA7AFAC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6A2D9F"/>
    <w:multiLevelType w:val="hybridMultilevel"/>
    <w:tmpl w:val="C144E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E21720"/>
    <w:multiLevelType w:val="multilevel"/>
    <w:tmpl w:val="B4860FCA"/>
    <w:lvl w:ilvl="0">
      <w:start w:val="5"/>
      <w:numFmt w:val="decimal"/>
      <w:lvlText w:val="%1"/>
      <w:lvlJc w:val="left"/>
      <w:pPr>
        <w:ind w:left="1080"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345" w:hanging="108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123" w:hanging="1440"/>
      </w:pPr>
      <w:rPr>
        <w:rFonts w:hint="default"/>
      </w:rPr>
    </w:lvl>
    <w:lvl w:ilvl="8">
      <w:start w:val="1"/>
      <w:numFmt w:val="decimal"/>
      <w:lvlText w:val="%1.%2.%3.%4.%5.%6.%7.%8.%9"/>
      <w:lvlJc w:val="left"/>
      <w:pPr>
        <w:ind w:left="8192" w:hanging="1800"/>
      </w:pPr>
      <w:rPr>
        <w:rFonts w:hint="default"/>
      </w:rPr>
    </w:lvl>
  </w:abstractNum>
  <w:abstractNum w:abstractNumId="22" w15:restartNumberingAfterBreak="0">
    <w:nsid w:val="7A446723"/>
    <w:multiLevelType w:val="hybridMultilevel"/>
    <w:tmpl w:val="D1D8EFE8"/>
    <w:lvl w:ilvl="0" w:tplc="EA7AFAC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1"/>
  </w:num>
  <w:num w:numId="12">
    <w:abstractNumId w:val="1"/>
  </w:num>
  <w:num w:numId="13">
    <w:abstractNumId w:val="19"/>
  </w:num>
  <w:num w:numId="14">
    <w:abstractNumId w:val="20"/>
  </w:num>
  <w:num w:numId="15">
    <w:abstractNumId w:val="13"/>
  </w:num>
  <w:num w:numId="16">
    <w:abstractNumId w:val="10"/>
  </w:num>
  <w:num w:numId="17">
    <w:abstractNumId w:val="6"/>
  </w:num>
  <w:num w:numId="18">
    <w:abstractNumId w:val="0"/>
  </w:num>
  <w:num w:numId="19">
    <w:abstractNumId w:val="12"/>
  </w:num>
  <w:num w:numId="20">
    <w:abstractNumId w:val="22"/>
  </w:num>
  <w:num w:numId="21">
    <w:abstractNumId w:val="16"/>
  </w:num>
  <w:num w:numId="22">
    <w:abstractNumId w:val="9"/>
  </w:num>
  <w:num w:numId="23">
    <w:abstractNumId w:val="18"/>
  </w:num>
  <w:num w:numId="24">
    <w:abstractNumId w:val="8"/>
  </w:num>
  <w:num w:numId="25">
    <w:abstractNumId w:val="5"/>
  </w:num>
  <w:num w:numId="26">
    <w:abstractNumId w:val="7"/>
  </w:num>
  <w:num w:numId="27">
    <w:abstractNumId w:val="4"/>
  </w:num>
  <w:num w:numId="28">
    <w:abstractNumId w:val="3"/>
  </w:num>
  <w:num w:numId="29">
    <w:abstractNumId w:val="14"/>
  </w:num>
  <w:num w:numId="30">
    <w:abstractNumId w:val="2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F"/>
    <w:rsid w:val="0002632D"/>
    <w:rsid w:val="00060D28"/>
    <w:rsid w:val="00063F17"/>
    <w:rsid w:val="000A2791"/>
    <w:rsid w:val="00104756"/>
    <w:rsid w:val="0011316A"/>
    <w:rsid w:val="0013633B"/>
    <w:rsid w:val="00157B24"/>
    <w:rsid w:val="00164ADA"/>
    <w:rsid w:val="00173219"/>
    <w:rsid w:val="00220045"/>
    <w:rsid w:val="002300BB"/>
    <w:rsid w:val="002B3DDF"/>
    <w:rsid w:val="002F3679"/>
    <w:rsid w:val="002F59CF"/>
    <w:rsid w:val="0034654A"/>
    <w:rsid w:val="003C3D4A"/>
    <w:rsid w:val="003C4EBF"/>
    <w:rsid w:val="003D6994"/>
    <w:rsid w:val="00400327"/>
    <w:rsid w:val="004234C1"/>
    <w:rsid w:val="00426EB3"/>
    <w:rsid w:val="004453F0"/>
    <w:rsid w:val="00455CE1"/>
    <w:rsid w:val="00456CE0"/>
    <w:rsid w:val="00495E57"/>
    <w:rsid w:val="004D474A"/>
    <w:rsid w:val="004D59C2"/>
    <w:rsid w:val="004F6216"/>
    <w:rsid w:val="00543D59"/>
    <w:rsid w:val="00576AEF"/>
    <w:rsid w:val="0059323B"/>
    <w:rsid w:val="005B522A"/>
    <w:rsid w:val="00607441"/>
    <w:rsid w:val="00630AFD"/>
    <w:rsid w:val="00661EAB"/>
    <w:rsid w:val="00671133"/>
    <w:rsid w:val="006B062C"/>
    <w:rsid w:val="006D4A36"/>
    <w:rsid w:val="00746E3A"/>
    <w:rsid w:val="00780D2D"/>
    <w:rsid w:val="00792744"/>
    <w:rsid w:val="007970DD"/>
    <w:rsid w:val="007B5233"/>
    <w:rsid w:val="00814C2E"/>
    <w:rsid w:val="00823999"/>
    <w:rsid w:val="00824EA1"/>
    <w:rsid w:val="0084621B"/>
    <w:rsid w:val="00864BAF"/>
    <w:rsid w:val="00885E13"/>
    <w:rsid w:val="00893844"/>
    <w:rsid w:val="008B1208"/>
    <w:rsid w:val="00902377"/>
    <w:rsid w:val="009053B3"/>
    <w:rsid w:val="00961614"/>
    <w:rsid w:val="0097660E"/>
    <w:rsid w:val="00987E49"/>
    <w:rsid w:val="009B7CD9"/>
    <w:rsid w:val="009D53CC"/>
    <w:rsid w:val="009F32F9"/>
    <w:rsid w:val="00A07905"/>
    <w:rsid w:val="00A3538C"/>
    <w:rsid w:val="00A60D98"/>
    <w:rsid w:val="00A61996"/>
    <w:rsid w:val="00AE30FE"/>
    <w:rsid w:val="00B17706"/>
    <w:rsid w:val="00B3775E"/>
    <w:rsid w:val="00B832C2"/>
    <w:rsid w:val="00BA478E"/>
    <w:rsid w:val="00BB6022"/>
    <w:rsid w:val="00BF1DCE"/>
    <w:rsid w:val="00C21ABA"/>
    <w:rsid w:val="00C242DA"/>
    <w:rsid w:val="00C423D9"/>
    <w:rsid w:val="00C42FA1"/>
    <w:rsid w:val="00C703F3"/>
    <w:rsid w:val="00CA43EF"/>
    <w:rsid w:val="00CB4B6B"/>
    <w:rsid w:val="00CB6875"/>
    <w:rsid w:val="00CD0885"/>
    <w:rsid w:val="00D62015"/>
    <w:rsid w:val="00D64FEE"/>
    <w:rsid w:val="00D9535F"/>
    <w:rsid w:val="00DB2697"/>
    <w:rsid w:val="00DC4881"/>
    <w:rsid w:val="00DE6593"/>
    <w:rsid w:val="00DF03CE"/>
    <w:rsid w:val="00E35335"/>
    <w:rsid w:val="00E65869"/>
    <w:rsid w:val="00EA01B0"/>
    <w:rsid w:val="00EA2446"/>
    <w:rsid w:val="00EA7F33"/>
    <w:rsid w:val="00ED66C6"/>
    <w:rsid w:val="00EE5A67"/>
    <w:rsid w:val="00EF52D8"/>
    <w:rsid w:val="00F06E22"/>
    <w:rsid w:val="00F3148F"/>
    <w:rsid w:val="00F572F3"/>
    <w:rsid w:val="00F83631"/>
    <w:rsid w:val="00FB29F9"/>
    <w:rsid w:val="00FC5667"/>
    <w:rsid w:val="00FF0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C694E"/>
  <w15:docId w15:val="{14591E4C-7DC7-4626-9A5E-27DAB9BD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48F"/>
    <w:pPr>
      <w:spacing w:after="240" w:line="300" w:lineRule="auto"/>
    </w:pPr>
    <w:rPr>
      <w:kern w:val="24"/>
      <w:sz w:val="24"/>
      <w:szCs w:val="24"/>
      <w:lang w:val="en-US" w:eastAsia="ja-JP"/>
    </w:rPr>
  </w:style>
  <w:style w:type="paragraph" w:styleId="Kop1">
    <w:name w:val="heading 1"/>
    <w:basedOn w:val="Standaard"/>
    <w:next w:val="Standaard"/>
    <w:link w:val="Kop1Char"/>
    <w:qFormat/>
    <w:rsid w:val="00F3148F"/>
    <w:pPr>
      <w:keepNext/>
      <w:keepLines/>
      <w:numPr>
        <w:numId w:val="10"/>
      </w:numPr>
      <w:tabs>
        <w:tab w:val="left" w:pos="1152"/>
      </w:tabs>
      <w:spacing w:before="120" w:after="120"/>
      <w:outlineLvl w:val="0"/>
    </w:pPr>
    <w:rPr>
      <w:rFonts w:eastAsia="Times New Roman"/>
      <w:b/>
      <w:kern w:val="28"/>
      <w:sz w:val="28"/>
      <w:szCs w:val="28"/>
    </w:rPr>
  </w:style>
  <w:style w:type="paragraph" w:styleId="Kop2">
    <w:name w:val="heading 2"/>
    <w:basedOn w:val="Kop1"/>
    <w:next w:val="Standaard"/>
    <w:link w:val="Kop2Char"/>
    <w:qFormat/>
    <w:rsid w:val="00F3148F"/>
    <w:pPr>
      <w:numPr>
        <w:ilvl w:val="1"/>
      </w:numPr>
      <w:tabs>
        <w:tab w:val="clear" w:pos="1152"/>
        <w:tab w:val="left" w:pos="1404"/>
      </w:tabs>
      <w:outlineLvl w:val="1"/>
    </w:pPr>
  </w:style>
  <w:style w:type="paragraph" w:styleId="Kop3">
    <w:name w:val="heading 3"/>
    <w:basedOn w:val="Kop1"/>
    <w:next w:val="Standaard"/>
    <w:link w:val="Kop3Char"/>
    <w:qFormat/>
    <w:rsid w:val="00F3148F"/>
    <w:pPr>
      <w:numPr>
        <w:ilvl w:val="2"/>
      </w:numPr>
      <w:tabs>
        <w:tab w:val="clear" w:pos="1152"/>
        <w:tab w:val="left" w:pos="1642"/>
      </w:tabs>
      <w:outlineLvl w:val="2"/>
    </w:pPr>
  </w:style>
  <w:style w:type="paragraph" w:styleId="Kop4">
    <w:name w:val="heading 4"/>
    <w:basedOn w:val="Kop1"/>
    <w:next w:val="Standaard"/>
    <w:link w:val="Kop4Char"/>
    <w:qFormat/>
    <w:rsid w:val="00F3148F"/>
    <w:pPr>
      <w:numPr>
        <w:ilvl w:val="3"/>
      </w:numPr>
      <w:tabs>
        <w:tab w:val="clear" w:pos="1152"/>
        <w:tab w:val="left" w:pos="1865"/>
      </w:tabs>
      <w:outlineLvl w:val="3"/>
    </w:pPr>
  </w:style>
  <w:style w:type="paragraph" w:styleId="Kop5">
    <w:name w:val="heading 5"/>
    <w:basedOn w:val="Kop1"/>
    <w:next w:val="Standaard"/>
    <w:link w:val="Kop5Char"/>
    <w:qFormat/>
    <w:rsid w:val="00F3148F"/>
    <w:pPr>
      <w:numPr>
        <w:ilvl w:val="4"/>
      </w:numPr>
      <w:tabs>
        <w:tab w:val="clear" w:pos="1152"/>
        <w:tab w:val="left" w:pos="2074"/>
      </w:tabs>
      <w:outlineLvl w:val="4"/>
    </w:pPr>
  </w:style>
  <w:style w:type="paragraph" w:styleId="Kop6">
    <w:name w:val="heading 6"/>
    <w:basedOn w:val="Kop1"/>
    <w:next w:val="Standaard"/>
    <w:link w:val="Kop6Char"/>
    <w:qFormat/>
    <w:rsid w:val="00F3148F"/>
    <w:pPr>
      <w:numPr>
        <w:ilvl w:val="5"/>
      </w:numPr>
      <w:tabs>
        <w:tab w:val="clear" w:pos="1152"/>
        <w:tab w:val="left" w:pos="2268"/>
      </w:tabs>
      <w:outlineLvl w:val="5"/>
    </w:pPr>
  </w:style>
  <w:style w:type="paragraph" w:styleId="Kop7">
    <w:name w:val="heading 7"/>
    <w:basedOn w:val="Kop1"/>
    <w:next w:val="Standaard"/>
    <w:link w:val="Kop7Char"/>
    <w:qFormat/>
    <w:rsid w:val="00F3148F"/>
    <w:pPr>
      <w:numPr>
        <w:ilvl w:val="6"/>
      </w:numPr>
      <w:tabs>
        <w:tab w:val="clear" w:pos="1152"/>
        <w:tab w:val="left" w:pos="2448"/>
      </w:tabs>
      <w:outlineLvl w:val="6"/>
    </w:pPr>
  </w:style>
  <w:style w:type="paragraph" w:styleId="Kop8">
    <w:name w:val="heading 8"/>
    <w:basedOn w:val="Kop1"/>
    <w:next w:val="Standaard"/>
    <w:link w:val="Kop8Char"/>
    <w:qFormat/>
    <w:rsid w:val="00F3148F"/>
    <w:pPr>
      <w:numPr>
        <w:ilvl w:val="7"/>
      </w:numPr>
      <w:tabs>
        <w:tab w:val="clear" w:pos="1152"/>
        <w:tab w:val="left" w:pos="2614"/>
      </w:tabs>
      <w:outlineLvl w:val="7"/>
    </w:pPr>
  </w:style>
  <w:style w:type="paragraph" w:styleId="Kop9">
    <w:name w:val="heading 9"/>
    <w:basedOn w:val="Kop1"/>
    <w:next w:val="Standaard"/>
    <w:link w:val="Kop9Char"/>
    <w:qFormat/>
    <w:rsid w:val="00F3148F"/>
    <w:pPr>
      <w:numPr>
        <w:ilvl w:val="8"/>
      </w:numPr>
      <w:tabs>
        <w:tab w:val="clear" w:pos="1152"/>
        <w:tab w:val="left" w:pos="2765"/>
      </w:tabs>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987E49"/>
    <w:pPr>
      <w:numPr>
        <w:numId w:val="1"/>
      </w:numPr>
    </w:pPr>
  </w:style>
  <w:style w:type="character" w:customStyle="1" w:styleId="Kop1Char">
    <w:name w:val="Kop 1 Char"/>
    <w:basedOn w:val="Standaardalinea-lettertype"/>
    <w:link w:val="Kop1"/>
    <w:rsid w:val="00F3148F"/>
    <w:rPr>
      <w:rFonts w:eastAsia="Times New Roman"/>
      <w:b/>
      <w:kern w:val="28"/>
      <w:sz w:val="28"/>
      <w:szCs w:val="28"/>
      <w:lang w:val="en-US" w:eastAsia="ja-JP"/>
    </w:rPr>
  </w:style>
  <w:style w:type="character" w:customStyle="1" w:styleId="Kop2Char">
    <w:name w:val="Kop 2 Char"/>
    <w:basedOn w:val="Standaardalinea-lettertype"/>
    <w:link w:val="Kop2"/>
    <w:rsid w:val="00F3148F"/>
    <w:rPr>
      <w:rFonts w:eastAsia="Times New Roman"/>
      <w:b/>
      <w:kern w:val="28"/>
      <w:sz w:val="28"/>
      <w:szCs w:val="28"/>
      <w:lang w:val="en-US" w:eastAsia="ja-JP"/>
    </w:rPr>
  </w:style>
  <w:style w:type="character" w:customStyle="1" w:styleId="Kop3Char">
    <w:name w:val="Kop 3 Char"/>
    <w:basedOn w:val="Standaardalinea-lettertype"/>
    <w:link w:val="Kop3"/>
    <w:rsid w:val="00F3148F"/>
    <w:rPr>
      <w:rFonts w:eastAsia="Times New Roman"/>
      <w:b/>
      <w:kern w:val="28"/>
      <w:sz w:val="28"/>
      <w:szCs w:val="28"/>
      <w:lang w:val="en-US" w:eastAsia="ja-JP"/>
    </w:rPr>
  </w:style>
  <w:style w:type="character" w:customStyle="1" w:styleId="Kop4Char">
    <w:name w:val="Kop 4 Char"/>
    <w:basedOn w:val="Standaardalinea-lettertype"/>
    <w:link w:val="Kop4"/>
    <w:rsid w:val="00F3148F"/>
    <w:rPr>
      <w:rFonts w:eastAsia="Times New Roman"/>
      <w:b/>
      <w:kern w:val="28"/>
      <w:sz w:val="28"/>
      <w:szCs w:val="28"/>
      <w:lang w:val="en-US" w:eastAsia="ja-JP"/>
    </w:rPr>
  </w:style>
  <w:style w:type="character" w:customStyle="1" w:styleId="Kop5Char">
    <w:name w:val="Kop 5 Char"/>
    <w:basedOn w:val="Standaardalinea-lettertype"/>
    <w:link w:val="Kop5"/>
    <w:rsid w:val="00F3148F"/>
    <w:rPr>
      <w:rFonts w:eastAsia="Times New Roman"/>
      <w:b/>
      <w:kern w:val="28"/>
      <w:sz w:val="28"/>
      <w:szCs w:val="28"/>
      <w:lang w:val="en-US" w:eastAsia="ja-JP"/>
    </w:rPr>
  </w:style>
  <w:style w:type="character" w:customStyle="1" w:styleId="Kop6Char">
    <w:name w:val="Kop 6 Char"/>
    <w:basedOn w:val="Standaardalinea-lettertype"/>
    <w:link w:val="Kop6"/>
    <w:rsid w:val="00F3148F"/>
    <w:rPr>
      <w:rFonts w:eastAsia="Times New Roman"/>
      <w:b/>
      <w:kern w:val="28"/>
      <w:sz w:val="28"/>
      <w:szCs w:val="28"/>
      <w:lang w:val="en-US" w:eastAsia="ja-JP"/>
    </w:rPr>
  </w:style>
  <w:style w:type="character" w:customStyle="1" w:styleId="Kop7Char">
    <w:name w:val="Kop 7 Char"/>
    <w:basedOn w:val="Standaardalinea-lettertype"/>
    <w:link w:val="Kop7"/>
    <w:rsid w:val="00F3148F"/>
    <w:rPr>
      <w:rFonts w:eastAsia="Times New Roman"/>
      <w:b/>
      <w:kern w:val="28"/>
      <w:sz w:val="28"/>
      <w:szCs w:val="28"/>
      <w:lang w:val="en-US" w:eastAsia="ja-JP"/>
    </w:rPr>
  </w:style>
  <w:style w:type="character" w:customStyle="1" w:styleId="Kop8Char">
    <w:name w:val="Kop 8 Char"/>
    <w:basedOn w:val="Standaardalinea-lettertype"/>
    <w:link w:val="Kop8"/>
    <w:rsid w:val="00F3148F"/>
    <w:rPr>
      <w:rFonts w:eastAsia="Times New Roman"/>
      <w:b/>
      <w:kern w:val="28"/>
      <w:sz w:val="28"/>
      <w:szCs w:val="28"/>
      <w:lang w:val="en-US" w:eastAsia="ja-JP"/>
    </w:rPr>
  </w:style>
  <w:style w:type="character" w:customStyle="1" w:styleId="Kop9Char">
    <w:name w:val="Kop 9 Char"/>
    <w:basedOn w:val="Standaardalinea-lettertype"/>
    <w:link w:val="Kop9"/>
    <w:rsid w:val="00F3148F"/>
    <w:rPr>
      <w:rFonts w:eastAsia="Times New Roman"/>
      <w:b/>
      <w:kern w:val="28"/>
      <w:sz w:val="28"/>
      <w:szCs w:val="28"/>
      <w:lang w:val="en-US" w:eastAsia="ja-JP"/>
    </w:rPr>
  </w:style>
  <w:style w:type="paragraph" w:styleId="Bijschrift">
    <w:name w:val="caption"/>
    <w:basedOn w:val="Standaard"/>
    <w:next w:val="Standaard"/>
    <w:qFormat/>
    <w:rsid w:val="00F3148F"/>
    <w:pPr>
      <w:keepNext/>
      <w:spacing w:before="240" w:after="120" w:line="240" w:lineRule="auto"/>
      <w:ind w:left="2160" w:hanging="2160"/>
    </w:pPr>
    <w:rPr>
      <w:rFonts w:eastAsia="Times New Roman"/>
      <w:b/>
      <w:bCs/>
      <w:szCs w:val="20"/>
    </w:rPr>
  </w:style>
  <w:style w:type="paragraph" w:styleId="Titel">
    <w:name w:val="Title"/>
    <w:basedOn w:val="Standaard"/>
    <w:next w:val="Standaard"/>
    <w:link w:val="TitelChar"/>
    <w:qFormat/>
    <w:rsid w:val="00F3148F"/>
    <w:pPr>
      <w:keepNext/>
      <w:keepLines/>
      <w:spacing w:after="0"/>
      <w:jc w:val="center"/>
    </w:pPr>
    <w:rPr>
      <w:rFonts w:ascii="Times New Roman Bold" w:eastAsia="Times New Roman" w:hAnsi="Times New Roman Bold" w:cs="Arial"/>
      <w:b/>
      <w:bCs/>
      <w:kern w:val="28"/>
      <w:sz w:val="28"/>
      <w:szCs w:val="28"/>
    </w:rPr>
  </w:style>
  <w:style w:type="character" w:customStyle="1" w:styleId="TitelChar">
    <w:name w:val="Titel Char"/>
    <w:basedOn w:val="Standaardalinea-lettertype"/>
    <w:link w:val="Titel"/>
    <w:rsid w:val="00F3148F"/>
    <w:rPr>
      <w:rFonts w:ascii="Times New Roman Bold" w:eastAsia="Times New Roman" w:hAnsi="Times New Roman Bold" w:cs="Arial"/>
      <w:b/>
      <w:bCs/>
      <w:kern w:val="28"/>
      <w:sz w:val="28"/>
      <w:szCs w:val="28"/>
      <w:lang w:val="en-US" w:eastAsia="ja-JP"/>
    </w:rPr>
  </w:style>
  <w:style w:type="paragraph" w:styleId="Plattetekst">
    <w:name w:val="Body Text"/>
    <w:basedOn w:val="Standaard"/>
    <w:link w:val="PlattetekstChar"/>
    <w:uiPriority w:val="1"/>
    <w:qFormat/>
    <w:rsid w:val="00F3148F"/>
    <w:pPr>
      <w:widowControl w:val="0"/>
      <w:spacing w:after="0" w:line="240" w:lineRule="auto"/>
      <w:ind w:left="240"/>
    </w:pPr>
    <w:rPr>
      <w:rFonts w:eastAsia="Times New Roman" w:cstheme="minorBidi"/>
      <w:kern w:val="0"/>
      <w:lang w:eastAsia="en-US"/>
    </w:rPr>
  </w:style>
  <w:style w:type="character" w:customStyle="1" w:styleId="PlattetekstChar">
    <w:name w:val="Platte tekst Char"/>
    <w:basedOn w:val="Standaardalinea-lettertype"/>
    <w:link w:val="Plattetekst"/>
    <w:uiPriority w:val="1"/>
    <w:rsid w:val="00F3148F"/>
    <w:rPr>
      <w:rFonts w:eastAsia="Times New Roman" w:cstheme="minorBidi"/>
      <w:sz w:val="24"/>
      <w:szCs w:val="24"/>
      <w:lang w:val="en-US"/>
    </w:rPr>
  </w:style>
  <w:style w:type="paragraph" w:styleId="Lijstalinea">
    <w:name w:val="List Paragraph"/>
    <w:basedOn w:val="Standaard"/>
    <w:uiPriority w:val="34"/>
    <w:qFormat/>
    <w:rsid w:val="00F3148F"/>
    <w:pPr>
      <w:ind w:left="720"/>
      <w:contextualSpacing/>
    </w:pPr>
    <w:rPr>
      <w:rFonts w:eastAsia="Times New Roman"/>
    </w:rPr>
  </w:style>
  <w:style w:type="paragraph" w:styleId="Koptekst">
    <w:name w:val="header"/>
    <w:basedOn w:val="Standaard"/>
    <w:link w:val="KoptekstChar"/>
    <w:unhideWhenUsed/>
    <w:rsid w:val="000A2791"/>
    <w:pPr>
      <w:tabs>
        <w:tab w:val="center" w:pos="4536"/>
        <w:tab w:val="right" w:pos="9072"/>
      </w:tabs>
      <w:spacing w:after="0" w:line="240" w:lineRule="auto"/>
    </w:pPr>
  </w:style>
  <w:style w:type="character" w:customStyle="1" w:styleId="KoptekstChar">
    <w:name w:val="Koptekst Char"/>
    <w:basedOn w:val="Standaardalinea-lettertype"/>
    <w:link w:val="Koptekst"/>
    <w:rsid w:val="000A2791"/>
    <w:rPr>
      <w:kern w:val="24"/>
      <w:sz w:val="24"/>
      <w:szCs w:val="24"/>
      <w:lang w:val="en-US" w:eastAsia="ja-JP"/>
    </w:rPr>
  </w:style>
  <w:style w:type="paragraph" w:styleId="Voettekst">
    <w:name w:val="footer"/>
    <w:basedOn w:val="Standaard"/>
    <w:link w:val="VoettekstChar"/>
    <w:uiPriority w:val="99"/>
    <w:unhideWhenUsed/>
    <w:rsid w:val="000A27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2791"/>
    <w:rPr>
      <w:kern w:val="24"/>
      <w:sz w:val="24"/>
      <w:szCs w:val="24"/>
      <w:lang w:val="en-US" w:eastAsia="ja-JP"/>
    </w:rPr>
  </w:style>
  <w:style w:type="character" w:styleId="Tekstvantijdelijkeaanduiding">
    <w:name w:val="Placeholder Text"/>
    <w:basedOn w:val="Standaardalinea-lettertype"/>
    <w:uiPriority w:val="99"/>
    <w:semiHidden/>
    <w:rsid w:val="0011316A"/>
    <w:rPr>
      <w:color w:val="808080"/>
    </w:rPr>
  </w:style>
  <w:style w:type="paragraph" w:styleId="Ballontekst">
    <w:name w:val="Balloon Text"/>
    <w:basedOn w:val="Standaard"/>
    <w:link w:val="BallontekstChar"/>
    <w:uiPriority w:val="99"/>
    <w:semiHidden/>
    <w:unhideWhenUsed/>
    <w:rsid w:val="001131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316A"/>
    <w:rPr>
      <w:rFonts w:ascii="Tahoma" w:hAnsi="Tahoma" w:cs="Tahoma"/>
      <w:kern w:val="24"/>
      <w:sz w:val="16"/>
      <w:szCs w:val="16"/>
      <w:lang w:val="en-US" w:eastAsia="ja-JP"/>
    </w:rPr>
  </w:style>
  <w:style w:type="character" w:styleId="Hyperlink">
    <w:name w:val="Hyperlink"/>
    <w:basedOn w:val="Standaardalinea-lettertype"/>
    <w:uiPriority w:val="99"/>
    <w:unhideWhenUsed/>
    <w:rsid w:val="00BB6022"/>
    <w:rPr>
      <w:color w:val="0000FF" w:themeColor="hyperlink"/>
      <w:u w:val="single"/>
    </w:rPr>
  </w:style>
  <w:style w:type="paragraph" w:styleId="Normaalweb">
    <w:name w:val="Normal (Web)"/>
    <w:basedOn w:val="Standaard"/>
    <w:uiPriority w:val="99"/>
    <w:unhideWhenUsed/>
    <w:rsid w:val="00893844"/>
    <w:pPr>
      <w:spacing w:before="100" w:beforeAutospacing="1" w:after="100" w:afterAutospacing="1" w:line="240" w:lineRule="auto"/>
    </w:pPr>
    <w:rPr>
      <w:rFonts w:eastAsia="Times New Roman"/>
      <w:kern w:val="0"/>
      <w:lang w:val="en-GB" w:eastAsia="en-GB"/>
    </w:rPr>
  </w:style>
  <w:style w:type="paragraph" w:styleId="Voetnoottekst">
    <w:name w:val="footnote text"/>
    <w:basedOn w:val="Standaard"/>
    <w:link w:val="VoetnoottekstChar"/>
    <w:uiPriority w:val="99"/>
    <w:semiHidden/>
    <w:unhideWhenUsed/>
    <w:rsid w:val="0084621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4621B"/>
    <w:rPr>
      <w:kern w:val="24"/>
      <w:lang w:val="en-US" w:eastAsia="ja-JP"/>
    </w:rPr>
  </w:style>
  <w:style w:type="character" w:styleId="Voetnootmarkering">
    <w:name w:val="footnote reference"/>
    <w:basedOn w:val="Standaardalinea-lettertype"/>
    <w:uiPriority w:val="99"/>
    <w:semiHidden/>
    <w:unhideWhenUsed/>
    <w:rsid w:val="008462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703137">
      <w:bodyDiv w:val="1"/>
      <w:marLeft w:val="0"/>
      <w:marRight w:val="0"/>
      <w:marTop w:val="0"/>
      <w:marBottom w:val="0"/>
      <w:divBdr>
        <w:top w:val="none" w:sz="0" w:space="0" w:color="auto"/>
        <w:left w:val="none" w:sz="0" w:space="0" w:color="auto"/>
        <w:bottom w:val="none" w:sz="0" w:space="0" w:color="auto"/>
        <w:right w:val="none" w:sz="0" w:space="0" w:color="auto"/>
      </w:divBdr>
    </w:div>
    <w:div w:id="197552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VG\AppData\Local\Microsoft\Windows\Temporary%20Internet%20Files\Content.Outlook\NDA8ZZ6V\eac_m1%205%201_SmP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1493DFA82C453F95CC97DB76FF6DDD"/>
        <w:category>
          <w:name w:val="General"/>
          <w:gallery w:val="placeholder"/>
        </w:category>
        <w:types>
          <w:type w:val="bbPlcHdr"/>
        </w:types>
        <w:behaviors>
          <w:behavior w:val="content"/>
        </w:behaviors>
        <w:guid w:val="{52E3DFD5-73BD-4463-8298-36F2FEBD1E3D}"/>
      </w:docPartPr>
      <w:docPartBody>
        <w:p w:rsidR="003341E5" w:rsidRDefault="003341E5">
          <w:pPr>
            <w:pStyle w:val="241493DFA82C453F95CC97DB76FF6DDD"/>
          </w:pPr>
          <w:r w:rsidRPr="008B5CA2">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1E5"/>
    <w:rsid w:val="00244CF4"/>
    <w:rsid w:val="00283BD5"/>
    <w:rsid w:val="002B48D6"/>
    <w:rsid w:val="003341E5"/>
    <w:rsid w:val="00783267"/>
    <w:rsid w:val="00A554E8"/>
    <w:rsid w:val="00B528AD"/>
    <w:rsid w:val="00FB1144"/>
    <w:rsid w:val="00FE01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E01C5"/>
    <w:rPr>
      <w:color w:val="808080"/>
    </w:rPr>
  </w:style>
  <w:style w:type="paragraph" w:customStyle="1" w:styleId="241493DFA82C453F95CC97DB76FF6DDD">
    <w:name w:val="241493DFA82C453F95CC97DB76FF6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3B993-2B29-4D5D-AABE-91AD04F4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eac_m1 5 1_SmPC</Template>
  <TotalTime>0</TotalTime>
  <Pages>1</Pages>
  <Words>3388</Words>
  <Characters>18635</Characters>
  <Application>Microsoft Office Word</Application>
  <DocSecurity>0</DocSecurity>
  <Lines>155</Lines>
  <Paragraphs>43</Paragraphs>
  <ScaleCrop>false</ScaleCrop>
  <HeadingPairs>
    <vt:vector size="6" baseType="variant">
      <vt:variant>
        <vt:lpstr>Titel</vt:lpstr>
      </vt:variant>
      <vt:variant>
        <vt:i4>1</vt:i4>
      </vt:variant>
      <vt:variant>
        <vt:lpstr>Koppen</vt:lpstr>
      </vt:variant>
      <vt:variant>
        <vt:i4>1</vt:i4>
      </vt:variant>
      <vt:variant>
        <vt:lpstr>Title</vt:lpstr>
      </vt:variant>
      <vt:variant>
        <vt:i4>1</vt:i4>
      </vt:variant>
    </vt:vector>
  </HeadingPairs>
  <TitlesOfParts>
    <vt:vector size="3" baseType="lpstr">
      <vt:lpstr>SmPC_en</vt:lpstr>
      <vt:lpstr>Summary of Product Characteristics</vt:lpstr>
      <vt:lpstr>SmPC_en</vt:lpstr>
    </vt:vector>
  </TitlesOfParts>
  <Company>Dafra Pharma</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SmPC_en</dc:title>
  <dc:subject>SGLYFT1</dc:subject>
  <dc:creator>RA Dafra Pharma</dc:creator>
  <cp:lastModifiedBy>Karin Van Halewyck</cp:lastModifiedBy>
  <cp:revision>3</cp:revision>
  <dcterms:created xsi:type="dcterms:W3CDTF">2020-10-06T08:32:00Z</dcterms:created>
  <dcterms:modified xsi:type="dcterms:W3CDTF">2020-10-06T09:41:00Z</dcterms:modified>
  <cp:version>10-2020</cp:version>
</cp:coreProperties>
</file>