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DCE" w:rsidRPr="00AE49F2" w:rsidRDefault="00BF1DCE" w:rsidP="009576E3">
      <w:pPr>
        <w:pStyle w:val="Heading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Theme="minorHAnsi" w:hAnsiTheme="minorHAnsi"/>
          <w:sz w:val="32"/>
          <w:szCs w:val="32"/>
          <w:lang w:val="en-GB"/>
        </w:rPr>
      </w:pPr>
      <w:r w:rsidRPr="00AE49F2">
        <w:rPr>
          <w:rFonts w:asciiTheme="minorHAnsi" w:hAnsiTheme="minorHAnsi"/>
          <w:sz w:val="32"/>
          <w:szCs w:val="32"/>
          <w:lang w:val="en-GB"/>
        </w:rPr>
        <w:t>Summary of Product Characteristics</w:t>
      </w:r>
    </w:p>
    <w:p w:rsidR="004453F0" w:rsidRPr="009576E3" w:rsidRDefault="004453F0" w:rsidP="009576E3">
      <w:pPr>
        <w:spacing w:line="360" w:lineRule="auto"/>
        <w:rPr>
          <w:rFonts w:asciiTheme="minorHAnsi" w:hAnsiTheme="minorHAnsi"/>
          <w:lang w:val="en-GB"/>
        </w:rPr>
      </w:pPr>
    </w:p>
    <w:p w:rsidR="00AE30FE" w:rsidRPr="00AE49F2" w:rsidRDefault="00AE30FE" w:rsidP="009576E3">
      <w:pPr>
        <w:pStyle w:val="ListParagraph"/>
        <w:numPr>
          <w:ilvl w:val="0"/>
          <w:numId w:val="12"/>
        </w:numPr>
        <w:spacing w:line="360" w:lineRule="auto"/>
        <w:ind w:left="0" w:firstLine="0"/>
        <w:rPr>
          <w:rFonts w:asciiTheme="minorHAnsi" w:hAnsiTheme="minorHAnsi"/>
          <w:b/>
          <w:sz w:val="26"/>
          <w:szCs w:val="26"/>
          <w:lang w:val="en-GB"/>
        </w:rPr>
      </w:pPr>
      <w:r w:rsidRPr="00AE49F2">
        <w:rPr>
          <w:rFonts w:asciiTheme="minorHAnsi" w:hAnsiTheme="minorHAnsi"/>
          <w:b/>
          <w:sz w:val="26"/>
          <w:szCs w:val="26"/>
          <w:lang w:val="en-GB"/>
        </w:rPr>
        <w:t>NAME OF THE MEDICINAL PRODUCT (FPP)</w:t>
      </w:r>
    </w:p>
    <w:p w:rsidR="0011316A" w:rsidRPr="00AE49F2" w:rsidRDefault="00AE49F2" w:rsidP="00AE49F2">
      <w:pPr>
        <w:pStyle w:val="ListParagraph"/>
        <w:spacing w:line="360" w:lineRule="auto"/>
        <w:rPr>
          <w:rFonts w:asciiTheme="minorHAnsi" w:hAnsiTheme="minorHAnsi"/>
          <w:lang w:val="en-GB"/>
        </w:rPr>
      </w:pPr>
      <w:r>
        <w:rPr>
          <w:rFonts w:asciiTheme="minorHAnsi" w:hAnsiTheme="minorHAnsi"/>
          <w:lang w:val="en-GB"/>
        </w:rPr>
        <w:t xml:space="preserve">PEDIFEN® </w:t>
      </w:r>
      <w:proofErr w:type="spellStart"/>
      <w:r>
        <w:rPr>
          <w:rFonts w:asciiTheme="minorHAnsi" w:hAnsiTheme="minorHAnsi"/>
          <w:lang w:val="en-GB"/>
        </w:rPr>
        <w:t>Pediatric</w:t>
      </w:r>
      <w:proofErr w:type="spellEnd"/>
      <w:r>
        <w:rPr>
          <w:rFonts w:asciiTheme="minorHAnsi" w:hAnsiTheme="minorHAnsi"/>
          <w:lang w:val="en-GB"/>
        </w:rPr>
        <w:t xml:space="preserve"> suspension</w:t>
      </w:r>
    </w:p>
    <w:p w:rsidR="000C7AD4" w:rsidRPr="009576E3" w:rsidRDefault="000C7AD4" w:rsidP="009576E3">
      <w:pPr>
        <w:pStyle w:val="ListParagraph"/>
        <w:spacing w:line="360" w:lineRule="auto"/>
        <w:ind w:left="0"/>
        <w:rPr>
          <w:rFonts w:asciiTheme="minorHAnsi" w:hAnsiTheme="minorHAnsi"/>
          <w:b/>
          <w:lang w:val="en-GB"/>
        </w:rPr>
      </w:pPr>
    </w:p>
    <w:p w:rsidR="0011316A" w:rsidRPr="009576E3" w:rsidRDefault="00B17706" w:rsidP="00AE49F2">
      <w:pPr>
        <w:pStyle w:val="ListParagraph"/>
        <w:numPr>
          <w:ilvl w:val="1"/>
          <w:numId w:val="12"/>
        </w:numPr>
        <w:spacing w:line="360" w:lineRule="auto"/>
        <w:ind w:left="720" w:firstLine="0"/>
        <w:rPr>
          <w:rFonts w:asciiTheme="minorHAnsi" w:hAnsiTheme="minorHAnsi"/>
          <w:b/>
          <w:lang w:val="en-GB"/>
        </w:rPr>
      </w:pPr>
      <w:r w:rsidRPr="009576E3">
        <w:rPr>
          <w:rFonts w:asciiTheme="minorHAnsi" w:hAnsiTheme="minorHAnsi"/>
          <w:b/>
          <w:lang w:val="en-GB"/>
        </w:rPr>
        <w:t>Strength</w:t>
      </w:r>
    </w:p>
    <w:p w:rsidR="0011316A" w:rsidRPr="00AE49F2" w:rsidRDefault="00422D72" w:rsidP="00AE49F2">
      <w:pPr>
        <w:pStyle w:val="ListParagraph"/>
        <w:spacing w:line="360" w:lineRule="auto"/>
        <w:rPr>
          <w:rFonts w:asciiTheme="minorHAnsi" w:hAnsiTheme="minorHAnsi"/>
          <w:lang w:val="nl-BE"/>
        </w:rPr>
      </w:pPr>
      <w:r w:rsidRPr="00AE49F2">
        <w:rPr>
          <w:rFonts w:asciiTheme="minorHAnsi" w:hAnsiTheme="minorHAnsi"/>
          <w:lang w:val="nl-BE"/>
        </w:rPr>
        <w:t xml:space="preserve">Ibuprofen </w:t>
      </w:r>
      <w:r w:rsidR="00AE49F2" w:rsidRPr="00AE49F2">
        <w:rPr>
          <w:rFonts w:asciiTheme="minorHAnsi" w:hAnsiTheme="minorHAnsi"/>
          <w:lang w:val="nl-BE"/>
        </w:rPr>
        <w:t>100 mg/5ml (</w:t>
      </w:r>
      <w:r w:rsidR="00155C90" w:rsidRPr="00AE49F2">
        <w:rPr>
          <w:rFonts w:asciiTheme="minorHAnsi" w:hAnsiTheme="minorHAnsi"/>
          <w:lang w:val="nl-BE"/>
        </w:rPr>
        <w:t>20 mg/ml</w:t>
      </w:r>
      <w:r w:rsidR="00AE49F2">
        <w:rPr>
          <w:rFonts w:asciiTheme="minorHAnsi" w:hAnsiTheme="minorHAnsi"/>
          <w:lang w:val="nl-BE"/>
        </w:rPr>
        <w:t>)</w:t>
      </w:r>
    </w:p>
    <w:p w:rsidR="0011316A" w:rsidRPr="009576E3" w:rsidRDefault="0011316A" w:rsidP="00AE49F2">
      <w:pPr>
        <w:pStyle w:val="ListParagraph"/>
        <w:numPr>
          <w:ilvl w:val="1"/>
          <w:numId w:val="12"/>
        </w:numPr>
        <w:spacing w:line="360" w:lineRule="auto"/>
        <w:ind w:left="720" w:firstLine="0"/>
        <w:rPr>
          <w:rFonts w:asciiTheme="minorHAnsi" w:hAnsiTheme="minorHAnsi"/>
          <w:b/>
          <w:lang w:val="en-GB"/>
        </w:rPr>
      </w:pPr>
      <w:r w:rsidRPr="009576E3">
        <w:rPr>
          <w:rFonts w:asciiTheme="minorHAnsi" w:hAnsiTheme="minorHAnsi"/>
          <w:b/>
          <w:lang w:val="en-GB"/>
        </w:rPr>
        <w:t>Pharmaceutical form</w:t>
      </w:r>
    </w:p>
    <w:p w:rsidR="0011316A" w:rsidRPr="009576E3" w:rsidRDefault="00155C90" w:rsidP="00AE49F2">
      <w:pPr>
        <w:pStyle w:val="ListParagraph"/>
        <w:spacing w:line="360" w:lineRule="auto"/>
        <w:rPr>
          <w:rFonts w:asciiTheme="minorHAnsi" w:hAnsiTheme="minorHAnsi"/>
          <w:lang w:val="en-GB"/>
        </w:rPr>
      </w:pPr>
      <w:r w:rsidRPr="009576E3">
        <w:rPr>
          <w:rFonts w:asciiTheme="minorHAnsi" w:hAnsiTheme="minorHAnsi"/>
          <w:lang w:val="en-GB"/>
        </w:rPr>
        <w:t>Oral suspension</w:t>
      </w:r>
    </w:p>
    <w:p w:rsidR="002B3DDF" w:rsidRPr="009576E3" w:rsidRDefault="002B3DDF" w:rsidP="009576E3">
      <w:pPr>
        <w:pStyle w:val="ListParagraph"/>
        <w:spacing w:line="360" w:lineRule="auto"/>
        <w:ind w:left="0"/>
        <w:rPr>
          <w:rFonts w:asciiTheme="minorHAnsi" w:hAnsiTheme="minorHAnsi"/>
          <w:b/>
          <w:lang w:val="en-GB"/>
        </w:rPr>
      </w:pPr>
    </w:p>
    <w:p w:rsidR="00AE30FE" w:rsidRPr="00F31128" w:rsidRDefault="00AE30FE" w:rsidP="009576E3">
      <w:pPr>
        <w:pStyle w:val="ListParagraph"/>
        <w:numPr>
          <w:ilvl w:val="0"/>
          <w:numId w:val="12"/>
        </w:numPr>
        <w:spacing w:line="360" w:lineRule="auto"/>
        <w:ind w:left="0" w:firstLine="0"/>
        <w:rPr>
          <w:rFonts w:asciiTheme="minorHAnsi" w:hAnsiTheme="minorHAnsi"/>
          <w:b/>
          <w:sz w:val="26"/>
          <w:szCs w:val="26"/>
          <w:lang w:val="en-GB"/>
        </w:rPr>
      </w:pPr>
      <w:r w:rsidRPr="00F31128">
        <w:rPr>
          <w:rFonts w:asciiTheme="minorHAnsi" w:hAnsiTheme="minorHAnsi"/>
          <w:b/>
          <w:sz w:val="26"/>
          <w:szCs w:val="26"/>
          <w:lang w:val="en-GB"/>
        </w:rPr>
        <w:t>QUALITATIVE AND QUANTITATIVE COMPOSITION</w:t>
      </w:r>
    </w:p>
    <w:p w:rsidR="00F31128" w:rsidRPr="009576E3" w:rsidRDefault="00F31128" w:rsidP="00F31128">
      <w:pPr>
        <w:pStyle w:val="ListParagraph"/>
        <w:spacing w:line="360" w:lineRule="auto"/>
        <w:ind w:left="360" w:firstLine="360"/>
        <w:rPr>
          <w:rFonts w:asciiTheme="minorHAnsi" w:eastAsiaTheme="minorHAnsi" w:hAnsiTheme="minorHAnsi"/>
          <w:lang w:val="en-GB"/>
        </w:rPr>
      </w:pPr>
      <w:r w:rsidRPr="009576E3">
        <w:rPr>
          <w:rFonts w:asciiTheme="minorHAnsi" w:hAnsiTheme="minorHAnsi"/>
          <w:lang w:val="en-GB"/>
        </w:rPr>
        <w:t>5 ml of oral suspension contains 100 mg ibuprofen</w:t>
      </w:r>
    </w:p>
    <w:p w:rsidR="0011316A" w:rsidRPr="009576E3" w:rsidRDefault="0011316A" w:rsidP="009576E3">
      <w:pPr>
        <w:pStyle w:val="ListParagraph"/>
        <w:spacing w:line="360" w:lineRule="auto"/>
        <w:ind w:left="0"/>
        <w:rPr>
          <w:rFonts w:asciiTheme="minorHAnsi" w:hAnsiTheme="minorHAnsi"/>
          <w:b/>
          <w:lang w:val="en-GB"/>
        </w:rPr>
      </w:pPr>
    </w:p>
    <w:p w:rsidR="00F31128" w:rsidRDefault="00155C90" w:rsidP="00F31128">
      <w:pPr>
        <w:pStyle w:val="ListParagraph"/>
        <w:spacing w:line="360" w:lineRule="auto"/>
        <w:rPr>
          <w:rFonts w:asciiTheme="minorHAnsi" w:hAnsiTheme="minorHAnsi"/>
          <w:lang w:val="en-GB"/>
        </w:rPr>
      </w:pPr>
      <w:r w:rsidRPr="00F31128">
        <w:rPr>
          <w:rFonts w:asciiTheme="minorHAnsi" w:hAnsiTheme="minorHAnsi"/>
          <w:u w:val="single"/>
          <w:lang w:val="en-GB"/>
        </w:rPr>
        <w:t>Excipient (s) with known effect</w:t>
      </w:r>
      <w:r w:rsidRPr="009576E3">
        <w:rPr>
          <w:rFonts w:asciiTheme="minorHAnsi" w:hAnsiTheme="minorHAnsi"/>
          <w:lang w:val="en-GB"/>
        </w:rPr>
        <w:t xml:space="preserve">: </w:t>
      </w:r>
    </w:p>
    <w:p w:rsidR="00F31128" w:rsidRDefault="00E566C2" w:rsidP="00F31128">
      <w:pPr>
        <w:pStyle w:val="ListParagraph"/>
        <w:spacing w:line="360" w:lineRule="auto"/>
        <w:rPr>
          <w:rFonts w:asciiTheme="minorHAnsi" w:hAnsiTheme="minorHAnsi"/>
          <w:lang w:val="en-GB"/>
        </w:rPr>
      </w:pPr>
      <w:r>
        <w:rPr>
          <w:rFonts w:asciiTheme="minorHAnsi" w:hAnsiTheme="minorHAnsi"/>
          <w:lang w:val="en-GB"/>
        </w:rPr>
        <w:t>M</w:t>
      </w:r>
      <w:r w:rsidR="00155C90" w:rsidRPr="009576E3">
        <w:rPr>
          <w:rFonts w:asciiTheme="minorHAnsi" w:hAnsiTheme="minorHAnsi"/>
          <w:lang w:val="en-GB"/>
        </w:rPr>
        <w:t xml:space="preserve">ethyl </w:t>
      </w:r>
      <w:proofErr w:type="spellStart"/>
      <w:r w:rsidR="00155C90" w:rsidRPr="009576E3">
        <w:rPr>
          <w:rFonts w:asciiTheme="minorHAnsi" w:hAnsiTheme="minorHAnsi"/>
          <w:lang w:val="en-GB"/>
        </w:rPr>
        <w:t>parahydroxybenzoate</w:t>
      </w:r>
      <w:proofErr w:type="spellEnd"/>
      <w:r w:rsidR="00F31128">
        <w:rPr>
          <w:rFonts w:asciiTheme="minorHAnsi" w:hAnsiTheme="minorHAnsi"/>
          <w:lang w:val="en-GB"/>
        </w:rPr>
        <w:t xml:space="preserve"> 5 mg/5ml</w:t>
      </w:r>
    </w:p>
    <w:p w:rsidR="00F31128" w:rsidRDefault="00E566C2" w:rsidP="00F31128">
      <w:pPr>
        <w:pStyle w:val="ListParagraph"/>
        <w:spacing w:line="360" w:lineRule="auto"/>
        <w:rPr>
          <w:rFonts w:asciiTheme="minorHAnsi" w:hAnsiTheme="minorHAnsi"/>
          <w:lang w:val="en-GB"/>
        </w:rPr>
      </w:pPr>
      <w:r>
        <w:rPr>
          <w:rFonts w:asciiTheme="minorHAnsi" w:hAnsiTheme="minorHAnsi"/>
          <w:lang w:val="en-GB"/>
        </w:rPr>
        <w:t>P</w:t>
      </w:r>
      <w:r w:rsidR="00155C90" w:rsidRPr="009576E3">
        <w:rPr>
          <w:rFonts w:asciiTheme="minorHAnsi" w:hAnsiTheme="minorHAnsi"/>
          <w:lang w:val="en-GB"/>
        </w:rPr>
        <w:t xml:space="preserve">ropyl </w:t>
      </w:r>
      <w:proofErr w:type="spellStart"/>
      <w:r w:rsidR="00155C90" w:rsidRPr="009576E3">
        <w:rPr>
          <w:rFonts w:asciiTheme="minorHAnsi" w:hAnsiTheme="minorHAnsi"/>
          <w:lang w:val="en-GB"/>
        </w:rPr>
        <w:t>parahydroxybenzoate</w:t>
      </w:r>
      <w:proofErr w:type="spellEnd"/>
      <w:r w:rsidR="00F31128">
        <w:rPr>
          <w:rFonts w:asciiTheme="minorHAnsi" w:hAnsiTheme="minorHAnsi"/>
          <w:lang w:val="en-GB"/>
        </w:rPr>
        <w:t xml:space="preserve"> 2.5 mg/5ml</w:t>
      </w:r>
    </w:p>
    <w:p w:rsidR="00F31128" w:rsidRDefault="00E566C2" w:rsidP="00F31128">
      <w:pPr>
        <w:pStyle w:val="ListParagraph"/>
        <w:spacing w:line="360" w:lineRule="auto"/>
        <w:rPr>
          <w:rFonts w:asciiTheme="minorHAnsi" w:hAnsiTheme="minorHAnsi"/>
          <w:lang w:val="en-GB"/>
        </w:rPr>
      </w:pPr>
      <w:r>
        <w:rPr>
          <w:rFonts w:asciiTheme="minorHAnsi" w:hAnsiTheme="minorHAnsi"/>
          <w:lang w:val="en-GB"/>
        </w:rPr>
        <w:t>S</w:t>
      </w:r>
      <w:r w:rsidR="00155C90" w:rsidRPr="009576E3">
        <w:rPr>
          <w:rFonts w:asciiTheme="minorHAnsi" w:hAnsiTheme="minorHAnsi"/>
          <w:lang w:val="en-GB"/>
        </w:rPr>
        <w:t>ucrose</w:t>
      </w:r>
      <w:r w:rsidR="00F31128">
        <w:rPr>
          <w:rFonts w:asciiTheme="minorHAnsi" w:hAnsiTheme="minorHAnsi"/>
          <w:lang w:val="en-GB"/>
        </w:rPr>
        <w:t xml:space="preserve"> 3.3 g/5ml</w:t>
      </w:r>
    </w:p>
    <w:p w:rsidR="00F31128" w:rsidRDefault="00E566C2" w:rsidP="00F31128">
      <w:pPr>
        <w:pStyle w:val="ListParagraph"/>
        <w:spacing w:line="360" w:lineRule="auto"/>
        <w:rPr>
          <w:rFonts w:asciiTheme="minorHAnsi" w:hAnsiTheme="minorHAnsi"/>
          <w:lang w:val="en-GB"/>
        </w:rPr>
      </w:pPr>
      <w:r>
        <w:rPr>
          <w:rFonts w:asciiTheme="minorHAnsi" w:hAnsiTheme="minorHAnsi"/>
          <w:lang w:val="en-GB"/>
        </w:rPr>
        <w:t>S</w:t>
      </w:r>
      <w:r w:rsidR="00155C90" w:rsidRPr="009576E3">
        <w:rPr>
          <w:rFonts w:asciiTheme="minorHAnsi" w:hAnsiTheme="minorHAnsi"/>
          <w:lang w:val="en-GB"/>
        </w:rPr>
        <w:t>odium benzoate</w:t>
      </w:r>
      <w:r w:rsidR="00F31128">
        <w:rPr>
          <w:rFonts w:asciiTheme="minorHAnsi" w:hAnsiTheme="minorHAnsi"/>
          <w:lang w:val="en-GB"/>
        </w:rPr>
        <w:t xml:space="preserve"> 12.5 mg/5ml</w:t>
      </w:r>
    </w:p>
    <w:p w:rsidR="00F31128" w:rsidRDefault="00E566C2" w:rsidP="00F31128">
      <w:pPr>
        <w:pStyle w:val="ListParagraph"/>
        <w:spacing w:line="360" w:lineRule="auto"/>
        <w:rPr>
          <w:rFonts w:asciiTheme="minorHAnsi" w:hAnsiTheme="minorHAnsi"/>
          <w:lang w:val="en-GB"/>
        </w:rPr>
      </w:pPr>
      <w:r>
        <w:rPr>
          <w:rFonts w:asciiTheme="minorHAnsi" w:hAnsiTheme="minorHAnsi"/>
          <w:lang w:val="en-GB"/>
        </w:rPr>
        <w:t>L</w:t>
      </w:r>
      <w:r w:rsidR="00F31128">
        <w:rPr>
          <w:rFonts w:asciiTheme="minorHAnsi" w:hAnsiTheme="minorHAnsi"/>
          <w:lang w:val="en-GB"/>
        </w:rPr>
        <w:t>iquid</w:t>
      </w:r>
      <w:r w:rsidR="00155C90" w:rsidRPr="009576E3">
        <w:rPr>
          <w:rFonts w:asciiTheme="minorHAnsi" w:hAnsiTheme="minorHAnsi"/>
          <w:lang w:val="en-GB"/>
        </w:rPr>
        <w:t xml:space="preserve"> sorbitol</w:t>
      </w:r>
      <w:r w:rsidR="00F31128">
        <w:rPr>
          <w:rFonts w:asciiTheme="minorHAnsi" w:hAnsiTheme="minorHAnsi"/>
          <w:lang w:val="en-GB"/>
        </w:rPr>
        <w:t xml:space="preserve"> 500 mg/5ml</w:t>
      </w:r>
    </w:p>
    <w:p w:rsidR="00F31128" w:rsidRDefault="00155C90" w:rsidP="00F31128">
      <w:pPr>
        <w:pStyle w:val="ListParagraph"/>
        <w:spacing w:line="360" w:lineRule="auto"/>
        <w:rPr>
          <w:rFonts w:asciiTheme="minorHAnsi" w:hAnsiTheme="minorHAnsi"/>
          <w:lang w:val="en-GB"/>
        </w:rPr>
      </w:pPr>
      <w:r w:rsidRPr="009576E3">
        <w:rPr>
          <w:rFonts w:asciiTheme="minorHAnsi" w:hAnsiTheme="minorHAnsi"/>
          <w:lang w:val="en-GB"/>
        </w:rPr>
        <w:t xml:space="preserve"> </w:t>
      </w:r>
      <w:r w:rsidR="00E566C2">
        <w:rPr>
          <w:rFonts w:asciiTheme="minorHAnsi" w:hAnsiTheme="minorHAnsi"/>
          <w:lang w:val="en-GB"/>
        </w:rPr>
        <w:t>Sunset yellow</w:t>
      </w:r>
      <w:r w:rsidR="00F31128">
        <w:rPr>
          <w:rFonts w:asciiTheme="minorHAnsi" w:hAnsiTheme="minorHAnsi"/>
          <w:lang w:val="en-GB"/>
        </w:rPr>
        <w:t xml:space="preserve"> (E110) 0.5 mg/5ml</w:t>
      </w:r>
    </w:p>
    <w:p w:rsidR="000C7AD4" w:rsidRPr="009576E3" w:rsidRDefault="00155C90" w:rsidP="00F31128">
      <w:pPr>
        <w:pStyle w:val="ListParagraph"/>
        <w:spacing w:line="360" w:lineRule="auto"/>
        <w:rPr>
          <w:rFonts w:asciiTheme="minorHAnsi" w:hAnsiTheme="minorHAnsi"/>
          <w:b/>
          <w:lang w:val="en-GB"/>
        </w:rPr>
      </w:pPr>
      <w:r w:rsidRPr="009576E3">
        <w:rPr>
          <w:rFonts w:asciiTheme="minorHAnsi" w:hAnsiTheme="minorHAnsi"/>
          <w:lang w:val="en-GB"/>
        </w:rPr>
        <w:t>For the full list of excipients, see section 6.1</w:t>
      </w:r>
    </w:p>
    <w:p w:rsidR="00155C90" w:rsidRPr="009576E3" w:rsidRDefault="00155C90" w:rsidP="009576E3">
      <w:pPr>
        <w:pStyle w:val="ListParagraph"/>
        <w:spacing w:line="360" w:lineRule="auto"/>
        <w:ind w:left="0"/>
        <w:rPr>
          <w:rFonts w:asciiTheme="minorHAnsi" w:hAnsiTheme="minorHAnsi"/>
          <w:b/>
          <w:lang w:val="en-GB"/>
        </w:rPr>
      </w:pPr>
    </w:p>
    <w:p w:rsidR="00AE30FE" w:rsidRPr="009576E3" w:rsidRDefault="00AE30FE" w:rsidP="009576E3">
      <w:pPr>
        <w:pStyle w:val="ListParagraph"/>
        <w:numPr>
          <w:ilvl w:val="0"/>
          <w:numId w:val="12"/>
        </w:numPr>
        <w:spacing w:line="360" w:lineRule="auto"/>
        <w:ind w:left="0" w:firstLine="0"/>
        <w:rPr>
          <w:rFonts w:asciiTheme="minorHAnsi" w:hAnsiTheme="minorHAnsi"/>
          <w:b/>
          <w:lang w:val="en-GB"/>
        </w:rPr>
      </w:pPr>
      <w:r w:rsidRPr="009576E3">
        <w:rPr>
          <w:rFonts w:asciiTheme="minorHAnsi" w:hAnsiTheme="minorHAnsi"/>
          <w:b/>
          <w:lang w:val="en-GB"/>
        </w:rPr>
        <w:t>PHARMACEUTICAL FORM</w:t>
      </w:r>
    </w:p>
    <w:p w:rsidR="00155C90" w:rsidRPr="009576E3" w:rsidRDefault="00CA6F14" w:rsidP="00CA6F14">
      <w:pPr>
        <w:pStyle w:val="ListParagraph"/>
        <w:spacing w:line="360" w:lineRule="auto"/>
        <w:rPr>
          <w:rFonts w:asciiTheme="minorHAnsi" w:eastAsiaTheme="minorHAnsi" w:hAnsiTheme="minorHAnsi"/>
          <w:lang w:val="en-GB"/>
        </w:rPr>
      </w:pPr>
      <w:r>
        <w:rPr>
          <w:rFonts w:asciiTheme="minorHAnsi" w:eastAsiaTheme="minorHAnsi" w:hAnsiTheme="minorHAnsi"/>
          <w:lang w:val="en-GB"/>
        </w:rPr>
        <w:t>Oral suspension, syrup</w:t>
      </w:r>
    </w:p>
    <w:p w:rsidR="00CA6F14" w:rsidRPr="00CA6F14" w:rsidRDefault="00CA6F14" w:rsidP="00CA6F14">
      <w:pPr>
        <w:ind w:firstLine="720"/>
        <w:rPr>
          <w:rFonts w:asciiTheme="minorHAnsi" w:hAnsiTheme="minorHAnsi"/>
        </w:rPr>
      </w:pPr>
      <w:r w:rsidRPr="00CA6F14">
        <w:rPr>
          <w:rFonts w:asciiTheme="minorHAnsi" w:hAnsiTheme="minorHAnsi"/>
          <w:bCs/>
          <w:spacing w:val="-2"/>
        </w:rPr>
        <w:t xml:space="preserve">Orange </w:t>
      </w:r>
      <w:proofErr w:type="spellStart"/>
      <w:r w:rsidRPr="00CA6F14">
        <w:rPr>
          <w:rFonts w:asciiTheme="minorHAnsi" w:hAnsiTheme="minorHAnsi"/>
          <w:bCs/>
          <w:spacing w:val="-2"/>
        </w:rPr>
        <w:t>col</w:t>
      </w:r>
      <w:r>
        <w:rPr>
          <w:rFonts w:asciiTheme="minorHAnsi" w:hAnsiTheme="minorHAnsi"/>
          <w:bCs/>
          <w:spacing w:val="-2"/>
        </w:rPr>
        <w:t>oured</w:t>
      </w:r>
      <w:proofErr w:type="spellEnd"/>
      <w:r>
        <w:rPr>
          <w:rFonts w:asciiTheme="minorHAnsi" w:hAnsiTheme="minorHAnsi"/>
          <w:bCs/>
          <w:spacing w:val="-2"/>
        </w:rPr>
        <w:t>,</w:t>
      </w:r>
      <w:r w:rsidRPr="00CA6F14">
        <w:rPr>
          <w:rFonts w:asciiTheme="minorHAnsi" w:hAnsiTheme="minorHAnsi"/>
          <w:bCs/>
          <w:spacing w:val="-2"/>
        </w:rPr>
        <w:t xml:space="preserve"> orange </w:t>
      </w:r>
      <w:proofErr w:type="spellStart"/>
      <w:proofErr w:type="gramStart"/>
      <w:r w:rsidRPr="00CA6F14">
        <w:rPr>
          <w:rFonts w:asciiTheme="minorHAnsi" w:hAnsiTheme="minorHAnsi"/>
          <w:bCs/>
          <w:spacing w:val="-2"/>
        </w:rPr>
        <w:t>flavo</w:t>
      </w:r>
      <w:r>
        <w:rPr>
          <w:rFonts w:asciiTheme="minorHAnsi" w:hAnsiTheme="minorHAnsi"/>
          <w:bCs/>
          <w:spacing w:val="-2"/>
        </w:rPr>
        <w:t>ured</w:t>
      </w:r>
      <w:proofErr w:type="spellEnd"/>
      <w:r w:rsidRPr="00CA6F14">
        <w:rPr>
          <w:rFonts w:asciiTheme="minorHAnsi" w:hAnsiTheme="minorHAnsi"/>
          <w:bCs/>
          <w:spacing w:val="-2"/>
        </w:rPr>
        <w:t>,  homogenous</w:t>
      </w:r>
      <w:proofErr w:type="gramEnd"/>
      <w:r w:rsidRPr="00CA6F14">
        <w:rPr>
          <w:rFonts w:asciiTheme="minorHAnsi" w:hAnsiTheme="minorHAnsi"/>
          <w:bCs/>
          <w:spacing w:val="-2"/>
        </w:rPr>
        <w:t xml:space="preserve"> suspension</w:t>
      </w:r>
      <w:r>
        <w:rPr>
          <w:rFonts w:asciiTheme="minorHAnsi" w:hAnsiTheme="minorHAnsi"/>
        </w:rPr>
        <w:t xml:space="preserve"> of good consistency</w:t>
      </w:r>
    </w:p>
    <w:p w:rsidR="00386B72" w:rsidRDefault="00386B72">
      <w:pPr>
        <w:spacing w:after="0" w:line="240" w:lineRule="auto"/>
        <w:rPr>
          <w:rFonts w:asciiTheme="minorHAnsi" w:eastAsia="Times New Roman" w:hAnsiTheme="minorHAnsi"/>
          <w:b/>
        </w:rPr>
      </w:pPr>
      <w:r>
        <w:rPr>
          <w:rFonts w:asciiTheme="minorHAnsi" w:hAnsiTheme="minorHAnsi"/>
          <w:b/>
        </w:rPr>
        <w:br w:type="page"/>
      </w:r>
    </w:p>
    <w:p w:rsidR="00AE30FE" w:rsidRPr="00386B72" w:rsidRDefault="00AE30FE" w:rsidP="009576E3">
      <w:pPr>
        <w:pStyle w:val="ListParagraph"/>
        <w:numPr>
          <w:ilvl w:val="0"/>
          <w:numId w:val="12"/>
        </w:numPr>
        <w:spacing w:line="360" w:lineRule="auto"/>
        <w:ind w:left="0" w:firstLine="0"/>
        <w:rPr>
          <w:rFonts w:asciiTheme="minorHAnsi" w:hAnsiTheme="minorHAnsi"/>
          <w:b/>
          <w:sz w:val="26"/>
          <w:szCs w:val="26"/>
          <w:lang w:val="en-GB"/>
        </w:rPr>
      </w:pPr>
      <w:r w:rsidRPr="00386B72">
        <w:rPr>
          <w:rFonts w:asciiTheme="minorHAnsi" w:hAnsiTheme="minorHAnsi"/>
          <w:b/>
          <w:sz w:val="26"/>
          <w:szCs w:val="26"/>
          <w:lang w:val="en-GB"/>
        </w:rPr>
        <w:lastRenderedPageBreak/>
        <w:t>CLINICAL PARTICULARS</w:t>
      </w:r>
    </w:p>
    <w:p w:rsidR="00AE30FE" w:rsidRPr="00D52D13"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t>Therapeutic indications</w:t>
      </w:r>
    </w:p>
    <w:p w:rsidR="009305C9" w:rsidRDefault="009305C9" w:rsidP="009305C9">
      <w:pPr>
        <w:pStyle w:val="ListParagraph"/>
        <w:spacing w:line="360" w:lineRule="auto"/>
        <w:rPr>
          <w:rFonts w:asciiTheme="minorHAnsi" w:hAnsiTheme="minorHAnsi"/>
          <w:lang w:val="en-GB"/>
        </w:rPr>
      </w:pPr>
      <w:proofErr w:type="spellStart"/>
      <w:r>
        <w:rPr>
          <w:rFonts w:asciiTheme="minorHAnsi" w:hAnsiTheme="minorHAnsi"/>
          <w:lang w:val="en-GB"/>
        </w:rPr>
        <w:t>Pedifen</w:t>
      </w:r>
      <w:proofErr w:type="spellEnd"/>
      <w:r>
        <w:rPr>
          <w:rFonts w:asciiTheme="minorHAnsi" w:hAnsiTheme="minorHAnsi"/>
          <w:lang w:val="en-GB"/>
        </w:rPr>
        <w:t xml:space="preserve"> </w:t>
      </w:r>
      <w:proofErr w:type="spellStart"/>
      <w:r>
        <w:rPr>
          <w:rFonts w:asciiTheme="minorHAnsi" w:hAnsiTheme="minorHAnsi"/>
          <w:lang w:val="en-GB"/>
        </w:rPr>
        <w:t>pediatric</w:t>
      </w:r>
      <w:proofErr w:type="spellEnd"/>
      <w:r>
        <w:rPr>
          <w:rFonts w:asciiTheme="minorHAnsi" w:hAnsiTheme="minorHAnsi"/>
          <w:lang w:val="en-GB"/>
        </w:rPr>
        <w:t xml:space="preserve"> suspension is medicine for children.</w:t>
      </w:r>
    </w:p>
    <w:p w:rsidR="00155C90" w:rsidRPr="009576E3" w:rsidRDefault="00155C90" w:rsidP="009305C9">
      <w:pPr>
        <w:pStyle w:val="ListParagraph"/>
        <w:spacing w:line="360" w:lineRule="auto"/>
        <w:rPr>
          <w:rFonts w:asciiTheme="minorHAnsi" w:hAnsiTheme="minorHAnsi"/>
          <w:lang w:val="en-GB"/>
        </w:rPr>
      </w:pPr>
      <w:r w:rsidRPr="009576E3">
        <w:rPr>
          <w:rFonts w:asciiTheme="minorHAnsi" w:hAnsiTheme="minorHAnsi"/>
          <w:lang w:val="en-GB"/>
        </w:rPr>
        <w:t>Short-term symptomatic treatment in case of:</w:t>
      </w:r>
    </w:p>
    <w:p w:rsidR="00155C90" w:rsidRPr="009576E3" w:rsidRDefault="00155C90" w:rsidP="009305C9">
      <w:pPr>
        <w:pStyle w:val="ListParagraph"/>
        <w:spacing w:line="360" w:lineRule="auto"/>
        <w:rPr>
          <w:rFonts w:asciiTheme="minorHAnsi" w:hAnsiTheme="minorHAnsi"/>
          <w:lang w:val="en-GB"/>
        </w:rPr>
      </w:pPr>
      <w:r w:rsidRPr="009576E3">
        <w:rPr>
          <w:rFonts w:asciiTheme="minorHAnsi" w:hAnsiTheme="minorHAnsi"/>
          <w:lang w:val="en-GB"/>
        </w:rPr>
        <w:t>- mild to moderate pain,</w:t>
      </w:r>
    </w:p>
    <w:p w:rsidR="00155C90" w:rsidRPr="009576E3" w:rsidRDefault="00155C90" w:rsidP="009305C9">
      <w:pPr>
        <w:pStyle w:val="ListParagraph"/>
        <w:spacing w:line="360" w:lineRule="auto"/>
        <w:rPr>
          <w:rFonts w:asciiTheme="minorHAnsi" w:hAnsiTheme="minorHAnsi"/>
          <w:b/>
          <w:lang w:val="en-GB"/>
        </w:rPr>
      </w:pPr>
      <w:r w:rsidRPr="009576E3">
        <w:rPr>
          <w:rFonts w:asciiTheme="minorHAnsi" w:hAnsiTheme="minorHAnsi"/>
          <w:lang w:val="en-GB"/>
        </w:rPr>
        <w:t>- fever.</w:t>
      </w:r>
    </w:p>
    <w:p w:rsidR="000C7AD4" w:rsidRPr="009305C9" w:rsidRDefault="009305C9" w:rsidP="009576E3">
      <w:pPr>
        <w:pStyle w:val="ListParagraph"/>
        <w:spacing w:line="360" w:lineRule="auto"/>
        <w:ind w:left="0"/>
        <w:rPr>
          <w:rFonts w:asciiTheme="minorHAnsi" w:hAnsiTheme="minorHAnsi"/>
          <w:lang w:val="en-GB"/>
        </w:rPr>
      </w:pPr>
      <w:r>
        <w:rPr>
          <w:rFonts w:asciiTheme="minorHAnsi" w:hAnsiTheme="minorHAnsi"/>
          <w:b/>
          <w:lang w:val="en-GB"/>
        </w:rPr>
        <w:tab/>
      </w:r>
      <w:r w:rsidRPr="009305C9">
        <w:rPr>
          <w:rFonts w:asciiTheme="minorHAnsi" w:hAnsiTheme="minorHAnsi"/>
          <w:lang w:val="en-GB"/>
        </w:rPr>
        <w:t>Treatment of analgesic and anti-inflammatory symptoms in juvenile arthritis</w:t>
      </w:r>
      <w:r>
        <w:rPr>
          <w:rFonts w:asciiTheme="minorHAnsi" w:hAnsiTheme="minorHAnsi"/>
          <w:lang w:val="en-GB"/>
        </w:rPr>
        <w:t>.</w:t>
      </w:r>
    </w:p>
    <w:p w:rsidR="009305C9" w:rsidRPr="009576E3" w:rsidRDefault="009305C9" w:rsidP="009576E3">
      <w:pPr>
        <w:pStyle w:val="ListParagraph"/>
        <w:spacing w:line="360" w:lineRule="auto"/>
        <w:ind w:left="0"/>
        <w:rPr>
          <w:rFonts w:asciiTheme="minorHAnsi" w:hAnsiTheme="minorHAnsi"/>
          <w:b/>
          <w:lang w:val="en-GB"/>
        </w:rPr>
      </w:pPr>
    </w:p>
    <w:p w:rsidR="00AE30FE" w:rsidRPr="00D52D13"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t>Posology and mode of administration</w:t>
      </w:r>
    </w:p>
    <w:p w:rsidR="004B2856" w:rsidRPr="009576E3" w:rsidRDefault="004B2856" w:rsidP="009576E3">
      <w:pPr>
        <w:pStyle w:val="ListParagraph"/>
        <w:spacing w:line="360" w:lineRule="auto"/>
        <w:ind w:left="0"/>
        <w:rPr>
          <w:rFonts w:asciiTheme="minorHAnsi" w:hAnsiTheme="minorHAnsi"/>
          <w:b/>
          <w:lang w:val="en-GB"/>
        </w:rPr>
      </w:pPr>
    </w:p>
    <w:p w:rsidR="0011316A" w:rsidRDefault="0011316A" w:rsidP="009576E3">
      <w:pPr>
        <w:pStyle w:val="ListParagraph"/>
        <w:numPr>
          <w:ilvl w:val="2"/>
          <w:numId w:val="12"/>
        </w:numPr>
        <w:spacing w:line="360" w:lineRule="auto"/>
        <w:ind w:left="0" w:firstLine="0"/>
        <w:rPr>
          <w:rFonts w:asciiTheme="minorHAnsi" w:hAnsiTheme="minorHAnsi"/>
          <w:b/>
          <w:lang w:val="en-GB"/>
        </w:rPr>
      </w:pPr>
      <w:r w:rsidRPr="009576E3">
        <w:rPr>
          <w:rFonts w:asciiTheme="minorHAnsi" w:hAnsiTheme="minorHAnsi"/>
          <w:b/>
          <w:lang w:val="en-GB"/>
        </w:rPr>
        <w:t>Posology</w:t>
      </w:r>
    </w:p>
    <w:p w:rsidR="00555E04" w:rsidRPr="009576E3" w:rsidRDefault="00555E04" w:rsidP="00555E04">
      <w:pPr>
        <w:pStyle w:val="ListParagraph"/>
        <w:spacing w:line="360" w:lineRule="auto"/>
        <w:rPr>
          <w:rFonts w:asciiTheme="minorHAnsi" w:hAnsiTheme="minorHAnsi"/>
          <w:b/>
          <w:lang w:val="en-GB"/>
        </w:rPr>
      </w:pPr>
      <w:r>
        <w:rPr>
          <w:rFonts w:asciiTheme="minorHAnsi" w:hAnsiTheme="minorHAnsi"/>
          <w:b/>
          <w:lang w:val="en-GB"/>
        </w:rPr>
        <w:t>Children from 6 months off</w:t>
      </w:r>
    </w:p>
    <w:p w:rsidR="00155C90" w:rsidRPr="009576E3" w:rsidRDefault="00155C90" w:rsidP="00E85B74">
      <w:pPr>
        <w:pStyle w:val="ListParagraph"/>
        <w:spacing w:line="360" w:lineRule="auto"/>
        <w:rPr>
          <w:rFonts w:asciiTheme="minorHAnsi" w:hAnsiTheme="minorHAnsi"/>
          <w:lang w:val="en-GB"/>
        </w:rPr>
      </w:pPr>
      <w:r w:rsidRPr="009576E3">
        <w:rPr>
          <w:rFonts w:asciiTheme="minorHAnsi" w:hAnsiTheme="minorHAnsi"/>
          <w:lang w:val="en-GB"/>
        </w:rPr>
        <w:t xml:space="preserve">- The dose of </w:t>
      </w:r>
      <w:proofErr w:type="spellStart"/>
      <w:r w:rsidRPr="009576E3">
        <w:rPr>
          <w:rFonts w:asciiTheme="minorHAnsi" w:hAnsiTheme="minorHAnsi"/>
          <w:lang w:val="en-GB"/>
        </w:rPr>
        <w:t>Pedifen</w:t>
      </w:r>
      <w:proofErr w:type="spellEnd"/>
      <w:r w:rsidRPr="009576E3">
        <w:rPr>
          <w:rFonts w:asciiTheme="minorHAnsi" w:hAnsiTheme="minorHAnsi"/>
          <w:lang w:val="en-GB"/>
        </w:rPr>
        <w:t xml:space="preserve"> </w:t>
      </w:r>
      <w:proofErr w:type="spellStart"/>
      <w:r w:rsidR="00E85B74">
        <w:rPr>
          <w:rFonts w:asciiTheme="minorHAnsi" w:hAnsiTheme="minorHAnsi"/>
          <w:lang w:val="en-GB"/>
        </w:rPr>
        <w:t>Pediatric</w:t>
      </w:r>
      <w:proofErr w:type="spellEnd"/>
      <w:r w:rsidRPr="009576E3">
        <w:rPr>
          <w:rFonts w:asciiTheme="minorHAnsi" w:hAnsiTheme="minorHAnsi"/>
          <w:lang w:val="en-GB"/>
        </w:rPr>
        <w:t xml:space="preserve"> Suspension depends on age or body weight.</w:t>
      </w:r>
    </w:p>
    <w:p w:rsidR="00155C90" w:rsidRPr="009576E3" w:rsidRDefault="00155C90" w:rsidP="00E85B74">
      <w:pPr>
        <w:pStyle w:val="ListParagraph"/>
        <w:spacing w:line="360" w:lineRule="auto"/>
        <w:rPr>
          <w:rFonts w:asciiTheme="minorHAnsi" w:hAnsiTheme="minorHAnsi"/>
          <w:lang w:val="en-GB"/>
        </w:rPr>
      </w:pPr>
      <w:r w:rsidRPr="009576E3">
        <w:rPr>
          <w:rFonts w:asciiTheme="minorHAnsi" w:hAnsiTheme="minorHAnsi"/>
          <w:lang w:val="en-GB"/>
        </w:rPr>
        <w:t>- The optimal dosage is between 7 to 10 mg / kg, 3 to 4 times a day, corresponding to a daily dose of 20-30 mg / kg.</w:t>
      </w:r>
    </w:p>
    <w:p w:rsidR="00155C90" w:rsidRPr="009576E3" w:rsidRDefault="00155C90" w:rsidP="00E85B74">
      <w:pPr>
        <w:pStyle w:val="ListParagraph"/>
        <w:spacing w:line="360" w:lineRule="auto"/>
        <w:rPr>
          <w:rFonts w:asciiTheme="minorHAnsi" w:hAnsiTheme="minorHAnsi"/>
          <w:lang w:val="en-GB"/>
        </w:rPr>
      </w:pPr>
      <w:r w:rsidRPr="009576E3">
        <w:rPr>
          <w:rFonts w:asciiTheme="minorHAnsi" w:hAnsiTheme="minorHAnsi"/>
          <w:lang w:val="en-GB"/>
        </w:rPr>
        <w:t>- For the treatment of pain and fever, it is recommended not to exceed a total daily dose of 30 mg / kg / day.</w:t>
      </w:r>
    </w:p>
    <w:tbl>
      <w:tblPr>
        <w:tblStyle w:val="TableGrid"/>
        <w:tblW w:w="8495" w:type="dxa"/>
        <w:tblInd w:w="567" w:type="dxa"/>
        <w:tblLook w:val="04A0" w:firstRow="1" w:lastRow="0" w:firstColumn="1" w:lastColumn="0" w:noHBand="0" w:noVBand="1"/>
      </w:tblPr>
      <w:tblGrid>
        <w:gridCol w:w="1696"/>
        <w:gridCol w:w="1418"/>
        <w:gridCol w:w="2551"/>
        <w:gridCol w:w="2830"/>
      </w:tblGrid>
      <w:tr w:rsidR="00155C90" w:rsidRPr="009576E3" w:rsidTr="00E542FA">
        <w:trPr>
          <w:tblHeader/>
        </w:trPr>
        <w:tc>
          <w:tcPr>
            <w:tcW w:w="1696" w:type="dxa"/>
          </w:tcPr>
          <w:p w:rsidR="00155C90" w:rsidRPr="009576E3" w:rsidRDefault="00155C90" w:rsidP="009576E3">
            <w:pPr>
              <w:spacing w:line="360" w:lineRule="auto"/>
              <w:jc w:val="both"/>
              <w:rPr>
                <w:noProof/>
                <w:lang w:val="en-GB"/>
              </w:rPr>
            </w:pPr>
            <w:r w:rsidRPr="009576E3">
              <w:rPr>
                <w:noProof/>
                <w:lang w:val="en-GB"/>
              </w:rPr>
              <w:t>Age</w:t>
            </w:r>
          </w:p>
        </w:tc>
        <w:tc>
          <w:tcPr>
            <w:tcW w:w="1418" w:type="dxa"/>
          </w:tcPr>
          <w:p w:rsidR="00155C90" w:rsidRPr="009576E3" w:rsidRDefault="00155C90" w:rsidP="009576E3">
            <w:pPr>
              <w:spacing w:line="360" w:lineRule="auto"/>
              <w:jc w:val="both"/>
              <w:rPr>
                <w:noProof/>
                <w:lang w:val="en-GB"/>
              </w:rPr>
            </w:pPr>
            <w:r w:rsidRPr="009576E3">
              <w:rPr>
                <w:noProof/>
                <w:lang w:val="en-GB"/>
              </w:rPr>
              <w:t>Weight</w:t>
            </w:r>
          </w:p>
        </w:tc>
        <w:tc>
          <w:tcPr>
            <w:tcW w:w="2551" w:type="dxa"/>
          </w:tcPr>
          <w:p w:rsidR="00155C90" w:rsidRPr="009576E3" w:rsidRDefault="00155C90" w:rsidP="009576E3">
            <w:pPr>
              <w:spacing w:line="360" w:lineRule="auto"/>
              <w:jc w:val="both"/>
              <w:rPr>
                <w:noProof/>
                <w:lang w:val="en-GB"/>
              </w:rPr>
            </w:pPr>
            <w:r w:rsidRPr="009576E3">
              <w:rPr>
                <w:noProof/>
                <w:lang w:val="en-GB"/>
              </w:rPr>
              <w:t>Unit Dose</w:t>
            </w:r>
          </w:p>
        </w:tc>
        <w:tc>
          <w:tcPr>
            <w:tcW w:w="2830" w:type="dxa"/>
          </w:tcPr>
          <w:p w:rsidR="00155C90" w:rsidRPr="009576E3" w:rsidRDefault="00155C90" w:rsidP="009576E3">
            <w:pPr>
              <w:spacing w:line="360" w:lineRule="auto"/>
              <w:jc w:val="both"/>
              <w:rPr>
                <w:noProof/>
                <w:lang w:val="en-GB"/>
              </w:rPr>
            </w:pPr>
            <w:r w:rsidRPr="009576E3">
              <w:rPr>
                <w:noProof/>
                <w:lang w:val="en-GB"/>
              </w:rPr>
              <w:t>Posology</w:t>
            </w:r>
          </w:p>
        </w:tc>
      </w:tr>
      <w:tr w:rsidR="00155C90" w:rsidRPr="009576E3" w:rsidTr="00CD2B8A">
        <w:tc>
          <w:tcPr>
            <w:tcW w:w="1696" w:type="dxa"/>
          </w:tcPr>
          <w:p w:rsidR="00155C90" w:rsidRPr="009576E3" w:rsidRDefault="00155C90" w:rsidP="009576E3">
            <w:pPr>
              <w:spacing w:line="360" w:lineRule="auto"/>
              <w:jc w:val="both"/>
              <w:rPr>
                <w:noProof/>
                <w:lang w:val="en-GB"/>
              </w:rPr>
            </w:pPr>
            <w:r w:rsidRPr="009576E3">
              <w:rPr>
                <w:noProof/>
                <w:lang w:val="en-GB"/>
              </w:rPr>
              <w:t>6 – 8 months</w:t>
            </w:r>
          </w:p>
        </w:tc>
        <w:tc>
          <w:tcPr>
            <w:tcW w:w="1418" w:type="dxa"/>
          </w:tcPr>
          <w:p w:rsidR="00155C90" w:rsidRPr="009576E3" w:rsidRDefault="00155C90" w:rsidP="009576E3">
            <w:pPr>
              <w:spacing w:line="360" w:lineRule="auto"/>
              <w:jc w:val="both"/>
              <w:rPr>
                <w:noProof/>
                <w:lang w:val="en-GB"/>
              </w:rPr>
            </w:pPr>
            <w:r w:rsidRPr="009576E3">
              <w:rPr>
                <w:noProof/>
                <w:lang w:val="en-GB"/>
              </w:rPr>
              <w:t>5 – 6 kg</w:t>
            </w:r>
          </w:p>
        </w:tc>
        <w:tc>
          <w:tcPr>
            <w:tcW w:w="2551" w:type="dxa"/>
          </w:tcPr>
          <w:p w:rsidR="00155C90" w:rsidRPr="009576E3" w:rsidRDefault="00155C90" w:rsidP="009576E3">
            <w:pPr>
              <w:spacing w:line="360" w:lineRule="auto"/>
              <w:jc w:val="both"/>
              <w:rPr>
                <w:noProof/>
                <w:lang w:val="en-GB"/>
              </w:rPr>
            </w:pPr>
            <w:r w:rsidRPr="009576E3">
              <w:rPr>
                <w:noProof/>
                <w:lang w:val="en-GB"/>
              </w:rPr>
              <w:t>2,5 ml</w:t>
            </w:r>
          </w:p>
          <w:p w:rsidR="00155C90" w:rsidRPr="009576E3" w:rsidRDefault="00155C90" w:rsidP="009576E3">
            <w:pPr>
              <w:spacing w:line="360" w:lineRule="auto"/>
              <w:jc w:val="both"/>
              <w:rPr>
                <w:noProof/>
                <w:lang w:val="en-GB"/>
              </w:rPr>
            </w:pPr>
            <w:r w:rsidRPr="009576E3">
              <w:rPr>
                <w:noProof/>
                <w:lang w:val="en-GB"/>
              </w:rPr>
              <w:t>or</w:t>
            </w:r>
          </w:p>
          <w:p w:rsidR="00155C90" w:rsidRPr="009576E3" w:rsidRDefault="00155C90" w:rsidP="009576E3">
            <w:pPr>
              <w:spacing w:line="360" w:lineRule="auto"/>
              <w:jc w:val="both"/>
              <w:rPr>
                <w:noProof/>
                <w:lang w:val="en-GB"/>
              </w:rPr>
            </w:pPr>
            <w:r w:rsidRPr="009576E3">
              <w:rPr>
                <w:noProof/>
                <w:lang w:val="en-GB"/>
              </w:rPr>
              <w:t>5 ml</w:t>
            </w:r>
          </w:p>
        </w:tc>
        <w:tc>
          <w:tcPr>
            <w:tcW w:w="2830" w:type="dxa"/>
          </w:tcPr>
          <w:p w:rsidR="00155C90" w:rsidRPr="009576E3" w:rsidRDefault="00155C90" w:rsidP="009576E3">
            <w:pPr>
              <w:spacing w:line="360" w:lineRule="auto"/>
              <w:jc w:val="both"/>
              <w:rPr>
                <w:noProof/>
                <w:lang w:val="en-GB"/>
              </w:rPr>
            </w:pPr>
            <w:r w:rsidRPr="009576E3">
              <w:rPr>
                <w:noProof/>
                <w:lang w:val="en-GB"/>
              </w:rPr>
              <w:t>1 to 3 times a day</w:t>
            </w:r>
          </w:p>
          <w:p w:rsidR="00155C90" w:rsidRPr="009576E3" w:rsidRDefault="00155C90" w:rsidP="009576E3">
            <w:pPr>
              <w:spacing w:line="360" w:lineRule="auto"/>
              <w:jc w:val="both"/>
              <w:rPr>
                <w:noProof/>
                <w:lang w:val="en-GB"/>
              </w:rPr>
            </w:pPr>
          </w:p>
          <w:p w:rsidR="00155C90" w:rsidRPr="009576E3" w:rsidRDefault="00155C90" w:rsidP="009576E3">
            <w:pPr>
              <w:spacing w:line="360" w:lineRule="auto"/>
              <w:jc w:val="both"/>
              <w:rPr>
                <w:noProof/>
                <w:lang w:val="en-GB"/>
              </w:rPr>
            </w:pPr>
            <w:r w:rsidRPr="009576E3">
              <w:rPr>
                <w:noProof/>
                <w:lang w:val="en-GB"/>
              </w:rPr>
              <w:t>1 times a day</w:t>
            </w:r>
          </w:p>
        </w:tc>
      </w:tr>
      <w:tr w:rsidR="00155C90" w:rsidRPr="009576E3" w:rsidTr="00CD2B8A">
        <w:tc>
          <w:tcPr>
            <w:tcW w:w="1696" w:type="dxa"/>
          </w:tcPr>
          <w:p w:rsidR="00155C90" w:rsidRPr="009576E3" w:rsidRDefault="00155C90" w:rsidP="009576E3">
            <w:pPr>
              <w:spacing w:line="360" w:lineRule="auto"/>
              <w:jc w:val="both"/>
              <w:rPr>
                <w:noProof/>
                <w:lang w:val="en-GB"/>
              </w:rPr>
            </w:pPr>
            <w:r w:rsidRPr="009576E3">
              <w:rPr>
                <w:noProof/>
                <w:lang w:val="en-GB"/>
              </w:rPr>
              <w:t>9 – 12 months</w:t>
            </w:r>
          </w:p>
        </w:tc>
        <w:tc>
          <w:tcPr>
            <w:tcW w:w="1418" w:type="dxa"/>
          </w:tcPr>
          <w:p w:rsidR="00155C90" w:rsidRPr="009576E3" w:rsidRDefault="00155C90" w:rsidP="009576E3">
            <w:pPr>
              <w:spacing w:line="360" w:lineRule="auto"/>
              <w:jc w:val="both"/>
              <w:rPr>
                <w:noProof/>
                <w:lang w:val="en-GB"/>
              </w:rPr>
            </w:pPr>
            <w:r w:rsidRPr="009576E3">
              <w:rPr>
                <w:noProof/>
                <w:lang w:val="en-GB"/>
              </w:rPr>
              <w:t>7 – 9 kg</w:t>
            </w:r>
          </w:p>
        </w:tc>
        <w:tc>
          <w:tcPr>
            <w:tcW w:w="2551" w:type="dxa"/>
          </w:tcPr>
          <w:p w:rsidR="00155C90" w:rsidRPr="009576E3" w:rsidRDefault="00155C90" w:rsidP="009576E3">
            <w:pPr>
              <w:spacing w:line="360" w:lineRule="auto"/>
              <w:jc w:val="both"/>
              <w:rPr>
                <w:noProof/>
                <w:lang w:val="en-GB"/>
              </w:rPr>
            </w:pPr>
            <w:r w:rsidRPr="009576E3">
              <w:rPr>
                <w:noProof/>
                <w:lang w:val="en-GB"/>
              </w:rPr>
              <w:t>2,5 ml</w:t>
            </w:r>
          </w:p>
          <w:p w:rsidR="00155C90" w:rsidRPr="009576E3" w:rsidRDefault="00155C90" w:rsidP="009576E3">
            <w:pPr>
              <w:spacing w:line="360" w:lineRule="auto"/>
              <w:jc w:val="both"/>
              <w:rPr>
                <w:noProof/>
                <w:lang w:val="en-GB"/>
              </w:rPr>
            </w:pPr>
            <w:r w:rsidRPr="009576E3">
              <w:rPr>
                <w:noProof/>
                <w:lang w:val="en-GB"/>
              </w:rPr>
              <w:t>or</w:t>
            </w:r>
          </w:p>
          <w:p w:rsidR="00155C90" w:rsidRPr="009576E3" w:rsidRDefault="00155C90" w:rsidP="009576E3">
            <w:pPr>
              <w:spacing w:line="360" w:lineRule="auto"/>
              <w:jc w:val="both"/>
              <w:rPr>
                <w:noProof/>
                <w:lang w:val="en-GB"/>
              </w:rPr>
            </w:pPr>
            <w:r w:rsidRPr="009576E3">
              <w:rPr>
                <w:noProof/>
                <w:lang w:val="en-GB"/>
              </w:rPr>
              <w:t>5 ml</w:t>
            </w:r>
          </w:p>
        </w:tc>
        <w:tc>
          <w:tcPr>
            <w:tcW w:w="2830" w:type="dxa"/>
          </w:tcPr>
          <w:p w:rsidR="00155C90" w:rsidRPr="009576E3" w:rsidRDefault="00155C90" w:rsidP="009576E3">
            <w:pPr>
              <w:spacing w:line="360" w:lineRule="auto"/>
              <w:jc w:val="both"/>
              <w:rPr>
                <w:noProof/>
                <w:lang w:val="en-GB"/>
              </w:rPr>
            </w:pPr>
            <w:r w:rsidRPr="009576E3">
              <w:rPr>
                <w:noProof/>
                <w:lang w:val="en-GB"/>
              </w:rPr>
              <w:t>1 to 4 times a day</w:t>
            </w:r>
          </w:p>
          <w:p w:rsidR="00155C90" w:rsidRPr="009576E3" w:rsidRDefault="00155C90" w:rsidP="009576E3">
            <w:pPr>
              <w:spacing w:line="360" w:lineRule="auto"/>
              <w:jc w:val="both"/>
              <w:rPr>
                <w:noProof/>
                <w:lang w:val="en-GB"/>
              </w:rPr>
            </w:pPr>
          </w:p>
          <w:p w:rsidR="00155C90" w:rsidRPr="009576E3" w:rsidRDefault="00155C90" w:rsidP="009576E3">
            <w:pPr>
              <w:spacing w:line="360" w:lineRule="auto"/>
              <w:jc w:val="both"/>
              <w:rPr>
                <w:noProof/>
                <w:lang w:val="en-GB"/>
              </w:rPr>
            </w:pPr>
            <w:r w:rsidRPr="009576E3">
              <w:rPr>
                <w:noProof/>
                <w:lang w:val="en-GB"/>
              </w:rPr>
              <w:t>1 to 2 times a day</w:t>
            </w:r>
          </w:p>
        </w:tc>
      </w:tr>
      <w:tr w:rsidR="00155C90" w:rsidRPr="009576E3" w:rsidTr="00CD2B8A">
        <w:tc>
          <w:tcPr>
            <w:tcW w:w="1696" w:type="dxa"/>
          </w:tcPr>
          <w:p w:rsidR="00155C90" w:rsidRPr="009576E3" w:rsidRDefault="00155C90" w:rsidP="009576E3">
            <w:pPr>
              <w:spacing w:line="360" w:lineRule="auto"/>
              <w:jc w:val="both"/>
              <w:rPr>
                <w:noProof/>
                <w:lang w:val="en-GB"/>
              </w:rPr>
            </w:pPr>
            <w:r w:rsidRPr="009576E3">
              <w:rPr>
                <w:noProof/>
                <w:lang w:val="en-GB"/>
              </w:rPr>
              <w:t>1 – 3 years</w:t>
            </w:r>
          </w:p>
        </w:tc>
        <w:tc>
          <w:tcPr>
            <w:tcW w:w="1418" w:type="dxa"/>
          </w:tcPr>
          <w:p w:rsidR="00155C90" w:rsidRPr="009576E3" w:rsidRDefault="00155C90" w:rsidP="009576E3">
            <w:pPr>
              <w:spacing w:line="360" w:lineRule="auto"/>
              <w:jc w:val="both"/>
              <w:rPr>
                <w:noProof/>
                <w:lang w:val="en-GB"/>
              </w:rPr>
            </w:pPr>
            <w:r w:rsidRPr="009576E3">
              <w:rPr>
                <w:noProof/>
                <w:lang w:val="en-GB"/>
              </w:rPr>
              <w:t>10 – 15 kg</w:t>
            </w:r>
          </w:p>
        </w:tc>
        <w:tc>
          <w:tcPr>
            <w:tcW w:w="2551" w:type="dxa"/>
          </w:tcPr>
          <w:p w:rsidR="00155C90" w:rsidRPr="009576E3" w:rsidRDefault="00155C90" w:rsidP="009576E3">
            <w:pPr>
              <w:spacing w:line="360" w:lineRule="auto"/>
              <w:jc w:val="both"/>
              <w:rPr>
                <w:noProof/>
                <w:lang w:val="en-GB"/>
              </w:rPr>
            </w:pPr>
            <w:r w:rsidRPr="009576E3">
              <w:rPr>
                <w:noProof/>
                <w:lang w:val="en-GB"/>
              </w:rPr>
              <w:t>5 ml</w:t>
            </w:r>
          </w:p>
        </w:tc>
        <w:tc>
          <w:tcPr>
            <w:tcW w:w="2830" w:type="dxa"/>
          </w:tcPr>
          <w:p w:rsidR="00155C90" w:rsidRPr="009576E3" w:rsidRDefault="00155C90" w:rsidP="009576E3">
            <w:pPr>
              <w:spacing w:line="360" w:lineRule="auto"/>
              <w:jc w:val="both"/>
              <w:rPr>
                <w:noProof/>
                <w:lang w:val="en-GB"/>
              </w:rPr>
            </w:pPr>
            <w:r w:rsidRPr="009576E3">
              <w:rPr>
                <w:noProof/>
                <w:lang w:val="en-GB"/>
              </w:rPr>
              <w:t>1 to 3 times a day</w:t>
            </w:r>
          </w:p>
        </w:tc>
      </w:tr>
      <w:tr w:rsidR="00155C90" w:rsidRPr="009576E3" w:rsidTr="00CD2B8A">
        <w:tc>
          <w:tcPr>
            <w:tcW w:w="1696" w:type="dxa"/>
          </w:tcPr>
          <w:p w:rsidR="00155C90" w:rsidRPr="009576E3" w:rsidRDefault="00155C90" w:rsidP="009576E3">
            <w:pPr>
              <w:spacing w:line="360" w:lineRule="auto"/>
              <w:jc w:val="both"/>
              <w:rPr>
                <w:noProof/>
                <w:lang w:val="en-GB"/>
              </w:rPr>
            </w:pPr>
            <w:r w:rsidRPr="009576E3">
              <w:rPr>
                <w:noProof/>
                <w:lang w:val="en-GB"/>
              </w:rPr>
              <w:t>4 – 6 years</w:t>
            </w:r>
          </w:p>
        </w:tc>
        <w:tc>
          <w:tcPr>
            <w:tcW w:w="1418" w:type="dxa"/>
          </w:tcPr>
          <w:p w:rsidR="00155C90" w:rsidRPr="009576E3" w:rsidRDefault="00155C90" w:rsidP="009576E3">
            <w:pPr>
              <w:spacing w:line="360" w:lineRule="auto"/>
              <w:jc w:val="both"/>
              <w:rPr>
                <w:noProof/>
                <w:lang w:val="en-GB"/>
              </w:rPr>
            </w:pPr>
            <w:r w:rsidRPr="009576E3">
              <w:rPr>
                <w:noProof/>
                <w:lang w:val="en-GB"/>
              </w:rPr>
              <w:t>16 – 20 kg</w:t>
            </w:r>
          </w:p>
        </w:tc>
        <w:tc>
          <w:tcPr>
            <w:tcW w:w="2551" w:type="dxa"/>
          </w:tcPr>
          <w:p w:rsidR="00155C90" w:rsidRPr="009576E3" w:rsidRDefault="00155C90" w:rsidP="009576E3">
            <w:pPr>
              <w:spacing w:line="360" w:lineRule="auto"/>
              <w:jc w:val="both"/>
              <w:rPr>
                <w:noProof/>
                <w:lang w:val="en-GB"/>
              </w:rPr>
            </w:pPr>
            <w:r w:rsidRPr="009576E3">
              <w:rPr>
                <w:noProof/>
                <w:lang w:val="en-GB"/>
              </w:rPr>
              <w:t>7,5 ml</w:t>
            </w:r>
          </w:p>
        </w:tc>
        <w:tc>
          <w:tcPr>
            <w:tcW w:w="2830" w:type="dxa"/>
          </w:tcPr>
          <w:p w:rsidR="00155C90" w:rsidRPr="009576E3" w:rsidRDefault="00155C90" w:rsidP="009576E3">
            <w:pPr>
              <w:spacing w:line="360" w:lineRule="auto"/>
              <w:jc w:val="both"/>
              <w:rPr>
                <w:noProof/>
                <w:lang w:val="en-GB"/>
              </w:rPr>
            </w:pPr>
            <w:r w:rsidRPr="009576E3">
              <w:rPr>
                <w:noProof/>
                <w:lang w:val="en-GB"/>
              </w:rPr>
              <w:t>1 to 2 times a day</w:t>
            </w:r>
          </w:p>
        </w:tc>
      </w:tr>
      <w:tr w:rsidR="00155C90" w:rsidRPr="009576E3" w:rsidTr="00CD2B8A">
        <w:tc>
          <w:tcPr>
            <w:tcW w:w="1696" w:type="dxa"/>
          </w:tcPr>
          <w:p w:rsidR="00155C90" w:rsidRPr="009576E3" w:rsidRDefault="00155C90" w:rsidP="009576E3">
            <w:pPr>
              <w:spacing w:line="360" w:lineRule="auto"/>
              <w:jc w:val="both"/>
              <w:rPr>
                <w:noProof/>
                <w:lang w:val="en-GB"/>
              </w:rPr>
            </w:pPr>
            <w:r w:rsidRPr="009576E3">
              <w:rPr>
                <w:noProof/>
                <w:lang w:val="en-GB"/>
              </w:rPr>
              <w:lastRenderedPageBreak/>
              <w:t>7 - 9 years</w:t>
            </w:r>
          </w:p>
        </w:tc>
        <w:tc>
          <w:tcPr>
            <w:tcW w:w="1418" w:type="dxa"/>
          </w:tcPr>
          <w:p w:rsidR="00155C90" w:rsidRPr="009576E3" w:rsidRDefault="00155C90" w:rsidP="009576E3">
            <w:pPr>
              <w:spacing w:line="360" w:lineRule="auto"/>
              <w:jc w:val="both"/>
              <w:rPr>
                <w:noProof/>
                <w:lang w:val="en-GB"/>
              </w:rPr>
            </w:pPr>
            <w:r w:rsidRPr="009576E3">
              <w:rPr>
                <w:noProof/>
                <w:lang w:val="en-GB"/>
              </w:rPr>
              <w:t>21 – 29 kg</w:t>
            </w:r>
          </w:p>
        </w:tc>
        <w:tc>
          <w:tcPr>
            <w:tcW w:w="2551" w:type="dxa"/>
          </w:tcPr>
          <w:p w:rsidR="00155C90" w:rsidRPr="009576E3" w:rsidRDefault="00155C90" w:rsidP="009576E3">
            <w:pPr>
              <w:spacing w:line="360" w:lineRule="auto"/>
              <w:jc w:val="both"/>
              <w:rPr>
                <w:noProof/>
                <w:lang w:val="en-GB"/>
              </w:rPr>
            </w:pPr>
            <w:r w:rsidRPr="009576E3">
              <w:rPr>
                <w:noProof/>
                <w:lang w:val="en-GB"/>
              </w:rPr>
              <w:t>10 ml</w:t>
            </w:r>
          </w:p>
        </w:tc>
        <w:tc>
          <w:tcPr>
            <w:tcW w:w="2830" w:type="dxa"/>
          </w:tcPr>
          <w:p w:rsidR="00155C90" w:rsidRPr="009576E3" w:rsidRDefault="00155C90" w:rsidP="009576E3">
            <w:pPr>
              <w:spacing w:line="360" w:lineRule="auto"/>
              <w:jc w:val="both"/>
              <w:rPr>
                <w:noProof/>
                <w:lang w:val="en-GB"/>
              </w:rPr>
            </w:pPr>
            <w:r w:rsidRPr="009576E3">
              <w:rPr>
                <w:noProof/>
                <w:lang w:val="en-GB"/>
              </w:rPr>
              <w:t>1 to 3 times a day</w:t>
            </w:r>
          </w:p>
        </w:tc>
      </w:tr>
      <w:tr w:rsidR="00155C90" w:rsidRPr="009576E3" w:rsidTr="00CD2B8A">
        <w:tc>
          <w:tcPr>
            <w:tcW w:w="1696" w:type="dxa"/>
          </w:tcPr>
          <w:p w:rsidR="00155C90" w:rsidRPr="009576E3" w:rsidRDefault="00155C90" w:rsidP="009576E3">
            <w:pPr>
              <w:spacing w:line="360" w:lineRule="auto"/>
              <w:jc w:val="both"/>
              <w:rPr>
                <w:noProof/>
                <w:lang w:val="en-GB"/>
              </w:rPr>
            </w:pPr>
            <w:r w:rsidRPr="009576E3">
              <w:rPr>
                <w:noProof/>
                <w:lang w:val="en-GB"/>
              </w:rPr>
              <w:t>10 – 12 years</w:t>
            </w:r>
          </w:p>
        </w:tc>
        <w:tc>
          <w:tcPr>
            <w:tcW w:w="1418" w:type="dxa"/>
          </w:tcPr>
          <w:p w:rsidR="00155C90" w:rsidRPr="009576E3" w:rsidRDefault="00155C90" w:rsidP="009576E3">
            <w:pPr>
              <w:spacing w:line="360" w:lineRule="auto"/>
              <w:jc w:val="both"/>
              <w:rPr>
                <w:noProof/>
                <w:lang w:val="en-GB"/>
              </w:rPr>
            </w:pPr>
            <w:r w:rsidRPr="009576E3">
              <w:rPr>
                <w:noProof/>
                <w:lang w:val="en-GB"/>
              </w:rPr>
              <w:t>30 – 43 kg</w:t>
            </w:r>
          </w:p>
        </w:tc>
        <w:tc>
          <w:tcPr>
            <w:tcW w:w="2551" w:type="dxa"/>
          </w:tcPr>
          <w:p w:rsidR="00155C90" w:rsidRPr="009576E3" w:rsidRDefault="00155C90" w:rsidP="009576E3">
            <w:pPr>
              <w:spacing w:line="360" w:lineRule="auto"/>
              <w:jc w:val="both"/>
              <w:rPr>
                <w:noProof/>
                <w:lang w:val="en-GB"/>
              </w:rPr>
            </w:pPr>
            <w:r w:rsidRPr="009576E3">
              <w:rPr>
                <w:noProof/>
                <w:lang w:val="en-GB"/>
              </w:rPr>
              <w:t>10 ml</w:t>
            </w:r>
          </w:p>
        </w:tc>
        <w:tc>
          <w:tcPr>
            <w:tcW w:w="2830" w:type="dxa"/>
          </w:tcPr>
          <w:p w:rsidR="00155C90" w:rsidRPr="009576E3" w:rsidRDefault="00155C90" w:rsidP="009576E3">
            <w:pPr>
              <w:spacing w:line="360" w:lineRule="auto"/>
              <w:jc w:val="both"/>
              <w:rPr>
                <w:noProof/>
                <w:lang w:val="en-GB"/>
              </w:rPr>
            </w:pPr>
            <w:r w:rsidRPr="009576E3">
              <w:rPr>
                <w:noProof/>
                <w:lang w:val="en-GB"/>
              </w:rPr>
              <w:t>1 to 4 times a day</w:t>
            </w:r>
          </w:p>
        </w:tc>
      </w:tr>
    </w:tbl>
    <w:p w:rsidR="00155C90" w:rsidRPr="009576E3" w:rsidRDefault="00155C90" w:rsidP="009576E3">
      <w:pPr>
        <w:spacing w:line="360" w:lineRule="auto"/>
        <w:jc w:val="both"/>
        <w:rPr>
          <w:rFonts w:asciiTheme="minorHAnsi" w:hAnsiTheme="minorHAnsi"/>
          <w:noProof/>
          <w:lang w:val="en-GB"/>
        </w:rPr>
      </w:pPr>
    </w:p>
    <w:p w:rsidR="00155C90" w:rsidRPr="009576E3" w:rsidRDefault="00155C90" w:rsidP="00E542FA">
      <w:pPr>
        <w:spacing w:line="360" w:lineRule="auto"/>
        <w:ind w:left="720"/>
        <w:jc w:val="both"/>
        <w:rPr>
          <w:rFonts w:asciiTheme="minorHAnsi" w:hAnsiTheme="minorHAnsi"/>
          <w:noProof/>
          <w:lang w:val="en-GB"/>
        </w:rPr>
      </w:pPr>
      <w:r w:rsidRPr="009576E3">
        <w:rPr>
          <w:rFonts w:asciiTheme="minorHAnsi" w:hAnsiTheme="minorHAnsi"/>
          <w:noProof/>
          <w:lang w:val="en-GB"/>
        </w:rPr>
        <w:t>In the case of taking the maximum unit dose, wait at least 6 hours before the next dose.</w:t>
      </w:r>
    </w:p>
    <w:p w:rsidR="00155C90" w:rsidRPr="009576E3" w:rsidRDefault="00155C90" w:rsidP="00E542FA">
      <w:pPr>
        <w:spacing w:line="360" w:lineRule="auto"/>
        <w:ind w:left="720"/>
        <w:jc w:val="both"/>
        <w:rPr>
          <w:rFonts w:asciiTheme="minorHAnsi" w:hAnsiTheme="minorHAnsi"/>
          <w:noProof/>
          <w:lang w:val="en-GB"/>
        </w:rPr>
      </w:pPr>
      <w:r w:rsidRPr="009576E3">
        <w:rPr>
          <w:rFonts w:asciiTheme="minorHAnsi" w:hAnsiTheme="minorHAnsi"/>
          <w:noProof/>
          <w:lang w:val="en-GB"/>
        </w:rPr>
        <w:t>- In children from 6 months, if the symptoms persist after 3 days of treatment or if they worsen, it is advisable to consult a doctor.</w:t>
      </w:r>
    </w:p>
    <w:p w:rsidR="0011316A" w:rsidRPr="009576E3" w:rsidRDefault="0011316A" w:rsidP="009576E3">
      <w:pPr>
        <w:pStyle w:val="ListParagraph"/>
        <w:numPr>
          <w:ilvl w:val="2"/>
          <w:numId w:val="12"/>
        </w:numPr>
        <w:spacing w:line="360" w:lineRule="auto"/>
        <w:ind w:left="0" w:firstLine="0"/>
        <w:rPr>
          <w:rFonts w:asciiTheme="minorHAnsi" w:hAnsiTheme="minorHAnsi"/>
          <w:b/>
          <w:lang w:val="en-GB"/>
        </w:rPr>
      </w:pPr>
      <w:r w:rsidRPr="009576E3">
        <w:rPr>
          <w:rFonts w:asciiTheme="minorHAnsi" w:hAnsiTheme="minorHAnsi"/>
          <w:b/>
          <w:lang w:val="en-GB"/>
        </w:rPr>
        <w:t>Special populations</w:t>
      </w:r>
    </w:p>
    <w:p w:rsidR="0011316A" w:rsidRPr="009576E3" w:rsidRDefault="0011316A" w:rsidP="009576E3">
      <w:pPr>
        <w:pStyle w:val="ListParagraph"/>
        <w:spacing w:line="360" w:lineRule="auto"/>
        <w:ind w:left="0"/>
        <w:rPr>
          <w:rFonts w:asciiTheme="minorHAnsi" w:hAnsiTheme="minorHAnsi"/>
          <w:b/>
          <w:lang w:val="en-GB"/>
        </w:rPr>
      </w:pPr>
    </w:p>
    <w:p w:rsidR="00155C90" w:rsidRPr="009576E3" w:rsidRDefault="00155C90" w:rsidP="00E542FA">
      <w:pPr>
        <w:pStyle w:val="ListParagraph"/>
        <w:spacing w:line="360" w:lineRule="auto"/>
        <w:rPr>
          <w:rFonts w:asciiTheme="minorHAnsi" w:hAnsiTheme="minorHAnsi"/>
          <w:lang w:val="en-GB"/>
        </w:rPr>
      </w:pPr>
      <w:r w:rsidRPr="009576E3">
        <w:rPr>
          <w:rFonts w:asciiTheme="minorHAnsi" w:hAnsiTheme="minorHAnsi"/>
          <w:b/>
          <w:lang w:val="en-GB"/>
        </w:rPr>
        <w:t>Renal failure</w:t>
      </w:r>
    </w:p>
    <w:p w:rsidR="00155C90" w:rsidRPr="009576E3" w:rsidRDefault="00155C90" w:rsidP="00E542FA">
      <w:pPr>
        <w:pStyle w:val="ListParagraph"/>
        <w:spacing w:line="360" w:lineRule="auto"/>
        <w:rPr>
          <w:rFonts w:asciiTheme="minorHAnsi" w:hAnsiTheme="minorHAnsi"/>
          <w:lang w:val="en-GB"/>
        </w:rPr>
      </w:pPr>
      <w:r w:rsidRPr="009576E3">
        <w:rPr>
          <w:rFonts w:asciiTheme="minorHAnsi" w:hAnsiTheme="minorHAnsi"/>
          <w:lang w:val="en-GB"/>
        </w:rPr>
        <w:t xml:space="preserve">No dose reduction is required in patients with mild to moderate renal impairment. </w:t>
      </w:r>
      <w:r w:rsidR="001122FF">
        <w:rPr>
          <w:rFonts w:asciiTheme="minorHAnsi" w:hAnsiTheme="minorHAnsi" w:cstheme="minorHAnsi"/>
          <w:lang w:val="en-GB"/>
        </w:rPr>
        <w:t>Ibuprofen</w:t>
      </w:r>
      <w:r w:rsidRPr="009576E3">
        <w:rPr>
          <w:rFonts w:asciiTheme="minorHAnsi" w:hAnsiTheme="minorHAnsi"/>
          <w:lang w:val="en-GB"/>
        </w:rPr>
        <w:t xml:space="preserve"> is contraindicated in patients with severe renal impairment.</w:t>
      </w:r>
    </w:p>
    <w:p w:rsidR="00155C90" w:rsidRPr="009576E3" w:rsidRDefault="00155C90" w:rsidP="00E542FA">
      <w:pPr>
        <w:pStyle w:val="ListParagraph"/>
        <w:spacing w:line="360" w:lineRule="auto"/>
        <w:rPr>
          <w:rFonts w:asciiTheme="minorHAnsi" w:hAnsiTheme="minorHAnsi"/>
          <w:b/>
          <w:lang w:val="en-GB"/>
        </w:rPr>
      </w:pPr>
      <w:r w:rsidRPr="009576E3">
        <w:rPr>
          <w:rFonts w:asciiTheme="minorHAnsi" w:hAnsiTheme="minorHAnsi"/>
          <w:b/>
          <w:lang w:val="en-GB"/>
        </w:rPr>
        <w:t>Hepatic insufficiency</w:t>
      </w:r>
    </w:p>
    <w:p w:rsidR="00155C90" w:rsidRPr="009576E3" w:rsidRDefault="00155C90" w:rsidP="00E542FA">
      <w:pPr>
        <w:pStyle w:val="ListParagraph"/>
        <w:spacing w:line="360" w:lineRule="auto"/>
        <w:rPr>
          <w:rFonts w:asciiTheme="minorHAnsi" w:hAnsiTheme="minorHAnsi"/>
          <w:b/>
          <w:lang w:val="en-GB"/>
        </w:rPr>
      </w:pPr>
      <w:r w:rsidRPr="009576E3">
        <w:rPr>
          <w:rFonts w:asciiTheme="minorHAnsi" w:hAnsiTheme="minorHAnsi"/>
          <w:lang w:val="en-GB"/>
        </w:rPr>
        <w:t>No dose reduction is required in patients with mild to moderate hepatic impairment.</w:t>
      </w:r>
      <w:r w:rsidRPr="009576E3">
        <w:rPr>
          <w:rFonts w:asciiTheme="minorHAnsi" w:hAnsiTheme="minorHAnsi" w:cstheme="minorHAnsi"/>
          <w:lang w:val="en-GB"/>
        </w:rPr>
        <w:t xml:space="preserve"> </w:t>
      </w:r>
      <w:r w:rsidR="001122FF">
        <w:rPr>
          <w:rFonts w:asciiTheme="minorHAnsi" w:hAnsiTheme="minorHAnsi" w:cstheme="minorHAnsi"/>
          <w:lang w:val="en-GB"/>
        </w:rPr>
        <w:t>Ibuprofen</w:t>
      </w:r>
      <w:r w:rsidRPr="009576E3">
        <w:rPr>
          <w:rFonts w:asciiTheme="minorHAnsi" w:hAnsiTheme="minorHAnsi" w:cstheme="minorHAnsi"/>
          <w:lang w:val="en-GB"/>
        </w:rPr>
        <w:t xml:space="preserve"> </w:t>
      </w:r>
      <w:r w:rsidRPr="009576E3">
        <w:rPr>
          <w:rFonts w:asciiTheme="minorHAnsi" w:hAnsiTheme="minorHAnsi"/>
          <w:lang w:val="en-GB"/>
        </w:rPr>
        <w:t>is contraindicated in patients with severe hepatic dysfunction.</w:t>
      </w:r>
    </w:p>
    <w:p w:rsidR="00155C90" w:rsidRPr="009576E3" w:rsidRDefault="00155C90" w:rsidP="009576E3">
      <w:pPr>
        <w:pStyle w:val="ListParagraph"/>
        <w:spacing w:line="360" w:lineRule="auto"/>
        <w:ind w:left="0"/>
        <w:rPr>
          <w:rFonts w:asciiTheme="minorHAnsi" w:hAnsiTheme="minorHAnsi"/>
          <w:b/>
          <w:lang w:val="en-GB"/>
        </w:rPr>
      </w:pPr>
    </w:p>
    <w:p w:rsidR="0011316A" w:rsidRPr="009576E3" w:rsidRDefault="00507012" w:rsidP="009576E3">
      <w:pPr>
        <w:pStyle w:val="ListParagraph"/>
        <w:numPr>
          <w:ilvl w:val="2"/>
          <w:numId w:val="12"/>
        </w:numPr>
        <w:spacing w:line="360" w:lineRule="auto"/>
        <w:ind w:left="0" w:firstLine="0"/>
        <w:rPr>
          <w:rFonts w:asciiTheme="minorHAnsi" w:hAnsiTheme="minorHAnsi"/>
          <w:b/>
          <w:lang w:val="en-GB"/>
        </w:rPr>
      </w:pPr>
      <w:proofErr w:type="spellStart"/>
      <w:r w:rsidRPr="009576E3">
        <w:rPr>
          <w:rFonts w:asciiTheme="minorHAnsi" w:hAnsiTheme="minorHAnsi"/>
          <w:b/>
          <w:lang w:val="en-GB"/>
        </w:rPr>
        <w:t>Pediatric</w:t>
      </w:r>
      <w:proofErr w:type="spellEnd"/>
      <w:r w:rsidR="0011316A" w:rsidRPr="009576E3">
        <w:rPr>
          <w:rFonts w:asciiTheme="minorHAnsi" w:hAnsiTheme="minorHAnsi"/>
          <w:b/>
          <w:lang w:val="en-GB"/>
        </w:rPr>
        <w:t xml:space="preserve"> population</w:t>
      </w:r>
    </w:p>
    <w:p w:rsidR="00224946" w:rsidRDefault="00224946" w:rsidP="00224946">
      <w:pPr>
        <w:pStyle w:val="ListParagraph"/>
        <w:spacing w:line="360" w:lineRule="auto"/>
        <w:ind w:left="0"/>
        <w:rPr>
          <w:rFonts w:asciiTheme="minorHAnsi" w:hAnsiTheme="minorHAnsi"/>
          <w:lang w:val="en-GB"/>
        </w:rPr>
      </w:pPr>
    </w:p>
    <w:p w:rsidR="00572992" w:rsidRDefault="00572992" w:rsidP="00E542FA">
      <w:pPr>
        <w:pStyle w:val="ListParagraph"/>
        <w:numPr>
          <w:ilvl w:val="0"/>
          <w:numId w:val="25"/>
        </w:numPr>
        <w:spacing w:line="360" w:lineRule="auto"/>
        <w:ind w:left="641" w:hanging="357"/>
        <w:rPr>
          <w:rFonts w:asciiTheme="minorHAnsi" w:hAnsiTheme="minorHAnsi"/>
          <w:lang w:val="en-GB"/>
        </w:rPr>
      </w:pPr>
      <w:r>
        <w:rPr>
          <w:rFonts w:asciiTheme="minorHAnsi" w:hAnsiTheme="minorHAnsi"/>
          <w:lang w:val="en-GB"/>
        </w:rPr>
        <w:t xml:space="preserve">For children from 6 months to 12 </w:t>
      </w:r>
      <w:proofErr w:type="gramStart"/>
      <w:r>
        <w:rPr>
          <w:rFonts w:asciiTheme="minorHAnsi" w:hAnsiTheme="minorHAnsi"/>
          <w:lang w:val="en-GB"/>
        </w:rPr>
        <w:t>years :</w:t>
      </w:r>
      <w:proofErr w:type="gramEnd"/>
      <w:r>
        <w:rPr>
          <w:rFonts w:asciiTheme="minorHAnsi" w:hAnsiTheme="minorHAnsi"/>
          <w:lang w:val="en-GB"/>
        </w:rPr>
        <w:t xml:space="preserve"> see 4.2.1.</w:t>
      </w:r>
    </w:p>
    <w:p w:rsidR="00224946" w:rsidRDefault="00155C90" w:rsidP="00E542FA">
      <w:pPr>
        <w:pStyle w:val="ListParagraph"/>
        <w:numPr>
          <w:ilvl w:val="0"/>
          <w:numId w:val="25"/>
        </w:numPr>
        <w:spacing w:line="360" w:lineRule="auto"/>
        <w:ind w:left="641" w:hanging="357"/>
        <w:rPr>
          <w:rFonts w:asciiTheme="minorHAnsi" w:hAnsiTheme="minorHAnsi"/>
          <w:lang w:val="en-GB"/>
        </w:rPr>
      </w:pPr>
      <w:r w:rsidRPr="00224946">
        <w:rPr>
          <w:rFonts w:asciiTheme="minorHAnsi" w:hAnsiTheme="minorHAnsi"/>
          <w:lang w:val="en-GB"/>
        </w:rPr>
        <w:t xml:space="preserve">Children under 6 months of age or with a body weight of less than 5 kg </w:t>
      </w:r>
      <w:r w:rsidR="00B94E55" w:rsidRPr="00224946">
        <w:rPr>
          <w:rFonts w:asciiTheme="minorHAnsi" w:hAnsiTheme="minorHAnsi"/>
          <w:lang w:val="en-GB"/>
        </w:rPr>
        <w:t>cannot</w:t>
      </w:r>
      <w:r w:rsidR="001122FF" w:rsidRPr="00224946">
        <w:rPr>
          <w:rFonts w:asciiTheme="minorHAnsi" w:hAnsiTheme="minorHAnsi"/>
          <w:lang w:val="en-GB"/>
        </w:rPr>
        <w:t xml:space="preserve"> </w:t>
      </w:r>
      <w:r w:rsidRPr="00224946">
        <w:rPr>
          <w:rFonts w:asciiTheme="minorHAnsi" w:hAnsiTheme="minorHAnsi"/>
          <w:lang w:val="en-GB"/>
        </w:rPr>
        <w:t xml:space="preserve">receive </w:t>
      </w:r>
      <w:r w:rsidR="001122FF" w:rsidRPr="00224946">
        <w:rPr>
          <w:rFonts w:asciiTheme="minorHAnsi" w:hAnsiTheme="minorHAnsi"/>
          <w:lang w:val="en-GB"/>
        </w:rPr>
        <w:t>Ibuprofen</w:t>
      </w:r>
      <w:r w:rsidRPr="00224946">
        <w:rPr>
          <w:rFonts w:asciiTheme="minorHAnsi" w:hAnsiTheme="minorHAnsi"/>
          <w:lang w:val="en-GB"/>
        </w:rPr>
        <w:t xml:space="preserve"> as there is not enough information to support the use of this medicine in this age group.</w:t>
      </w:r>
      <w:r w:rsidR="00224946" w:rsidRPr="00224946">
        <w:rPr>
          <w:rFonts w:asciiTheme="minorHAnsi" w:hAnsiTheme="minorHAnsi"/>
          <w:lang w:val="en-GB"/>
        </w:rPr>
        <w:t xml:space="preserve"> </w:t>
      </w:r>
    </w:p>
    <w:p w:rsidR="00224946" w:rsidRPr="00224946" w:rsidRDefault="00224946" w:rsidP="00E542FA">
      <w:pPr>
        <w:pStyle w:val="ListParagraph"/>
        <w:numPr>
          <w:ilvl w:val="0"/>
          <w:numId w:val="25"/>
        </w:numPr>
        <w:spacing w:line="360" w:lineRule="auto"/>
        <w:ind w:left="641" w:hanging="357"/>
        <w:rPr>
          <w:rFonts w:asciiTheme="minorHAnsi" w:hAnsiTheme="minorHAnsi"/>
          <w:lang w:val="en-GB"/>
        </w:rPr>
      </w:pPr>
      <w:r w:rsidRPr="00224946">
        <w:rPr>
          <w:rFonts w:asciiTheme="minorHAnsi" w:hAnsiTheme="minorHAnsi"/>
          <w:lang w:val="en-GB"/>
        </w:rPr>
        <w:t>There is a risk of renal impairment in dehydrated children and adolescents</w:t>
      </w:r>
      <w:r w:rsidR="00145F89">
        <w:rPr>
          <w:rFonts w:asciiTheme="minorHAnsi" w:hAnsiTheme="minorHAnsi"/>
          <w:lang w:val="en-GB"/>
        </w:rPr>
        <w:t xml:space="preserve">, especially in case of fever. It is important </w:t>
      </w:r>
      <w:r w:rsidR="00145F89" w:rsidRPr="00145F89">
        <w:rPr>
          <w:rFonts w:asciiTheme="minorHAnsi" w:hAnsiTheme="minorHAnsi"/>
          <w:lang w:val="en-GB"/>
        </w:rPr>
        <w:t>to hydrate sufficiently children</w:t>
      </w:r>
      <w:r w:rsidR="00145F89">
        <w:rPr>
          <w:rFonts w:asciiTheme="minorHAnsi" w:hAnsiTheme="minorHAnsi"/>
          <w:lang w:val="en-GB"/>
        </w:rPr>
        <w:t xml:space="preserve"> under </w:t>
      </w:r>
      <w:proofErr w:type="spellStart"/>
      <w:r w:rsidR="00145F89">
        <w:rPr>
          <w:rFonts w:asciiTheme="minorHAnsi" w:hAnsiTheme="minorHAnsi"/>
          <w:lang w:val="en-GB"/>
        </w:rPr>
        <w:t>Pedifen</w:t>
      </w:r>
      <w:proofErr w:type="spellEnd"/>
      <w:r w:rsidR="00145F89">
        <w:rPr>
          <w:rFonts w:asciiTheme="minorHAnsi" w:hAnsiTheme="minorHAnsi"/>
          <w:lang w:val="en-GB"/>
        </w:rPr>
        <w:t xml:space="preserve"> treatment</w:t>
      </w:r>
      <w:r w:rsidR="00145F89" w:rsidRPr="00145F89">
        <w:rPr>
          <w:rFonts w:asciiTheme="minorHAnsi" w:hAnsiTheme="minorHAnsi"/>
          <w:lang w:val="en-GB"/>
        </w:rPr>
        <w:t>.</w:t>
      </w:r>
    </w:p>
    <w:p w:rsidR="0011316A" w:rsidRPr="009576E3" w:rsidRDefault="0011316A" w:rsidP="009576E3">
      <w:pPr>
        <w:pStyle w:val="ListParagraph"/>
        <w:spacing w:line="360" w:lineRule="auto"/>
        <w:ind w:left="0"/>
        <w:rPr>
          <w:rFonts w:asciiTheme="minorHAnsi" w:hAnsiTheme="minorHAnsi"/>
          <w:lang w:val="en-GB"/>
        </w:rPr>
      </w:pPr>
    </w:p>
    <w:p w:rsidR="00155C90" w:rsidRDefault="00155C90" w:rsidP="009576E3">
      <w:pPr>
        <w:pStyle w:val="ListParagraph"/>
        <w:spacing w:line="360" w:lineRule="auto"/>
        <w:ind w:left="0"/>
        <w:rPr>
          <w:rFonts w:asciiTheme="minorHAnsi" w:hAnsiTheme="minorHAnsi"/>
          <w:b/>
          <w:lang w:val="en-GB"/>
        </w:rPr>
      </w:pPr>
    </w:p>
    <w:p w:rsidR="00572992" w:rsidRPr="009576E3" w:rsidRDefault="00572992" w:rsidP="009576E3">
      <w:pPr>
        <w:pStyle w:val="ListParagraph"/>
        <w:spacing w:line="360" w:lineRule="auto"/>
        <w:ind w:left="0"/>
        <w:rPr>
          <w:rFonts w:asciiTheme="minorHAnsi" w:hAnsiTheme="minorHAnsi"/>
          <w:b/>
          <w:lang w:val="en-GB"/>
        </w:rPr>
      </w:pPr>
    </w:p>
    <w:p w:rsidR="0011316A" w:rsidRPr="009576E3" w:rsidRDefault="0011316A" w:rsidP="009576E3">
      <w:pPr>
        <w:pStyle w:val="ListParagraph"/>
        <w:numPr>
          <w:ilvl w:val="2"/>
          <w:numId w:val="12"/>
        </w:numPr>
        <w:spacing w:line="360" w:lineRule="auto"/>
        <w:ind w:left="0" w:firstLine="0"/>
        <w:rPr>
          <w:rFonts w:asciiTheme="minorHAnsi" w:hAnsiTheme="minorHAnsi"/>
          <w:b/>
          <w:lang w:val="en-GB"/>
        </w:rPr>
      </w:pPr>
      <w:r w:rsidRPr="009576E3">
        <w:rPr>
          <w:rFonts w:asciiTheme="minorHAnsi" w:hAnsiTheme="minorHAnsi"/>
          <w:b/>
          <w:lang w:val="en-GB"/>
        </w:rPr>
        <w:lastRenderedPageBreak/>
        <w:t xml:space="preserve">Method of </w:t>
      </w:r>
      <w:r w:rsidR="00B17706" w:rsidRPr="009576E3">
        <w:rPr>
          <w:rFonts w:asciiTheme="minorHAnsi" w:hAnsiTheme="minorHAnsi"/>
          <w:b/>
          <w:lang w:val="en-GB"/>
        </w:rPr>
        <w:t>administration</w:t>
      </w:r>
    </w:p>
    <w:p w:rsidR="0011316A" w:rsidRPr="009576E3" w:rsidRDefault="0011316A" w:rsidP="009576E3">
      <w:pPr>
        <w:pStyle w:val="ListParagraph"/>
        <w:spacing w:line="360" w:lineRule="auto"/>
        <w:ind w:left="0"/>
        <w:rPr>
          <w:rFonts w:asciiTheme="minorHAnsi" w:hAnsiTheme="minorHAnsi"/>
          <w:b/>
          <w:lang w:val="en-GB"/>
        </w:rPr>
      </w:pPr>
    </w:p>
    <w:p w:rsidR="00155C90" w:rsidRPr="009576E3" w:rsidRDefault="004B2856" w:rsidP="009576E3">
      <w:pPr>
        <w:pStyle w:val="ListParagraph"/>
        <w:spacing w:line="360" w:lineRule="auto"/>
        <w:ind w:left="0"/>
        <w:rPr>
          <w:rFonts w:asciiTheme="minorHAnsi" w:hAnsiTheme="minorHAnsi"/>
          <w:lang w:val="en-GB"/>
        </w:rPr>
      </w:pPr>
      <w:r w:rsidRPr="009576E3">
        <w:rPr>
          <w:rFonts w:asciiTheme="minorHAnsi" w:hAnsiTheme="minorHAnsi"/>
          <w:lang w:val="en-GB"/>
        </w:rPr>
        <w:t>Suspension f</w:t>
      </w:r>
      <w:r w:rsidR="00155C90" w:rsidRPr="009576E3">
        <w:rPr>
          <w:rFonts w:asciiTheme="minorHAnsi" w:hAnsiTheme="minorHAnsi"/>
          <w:lang w:val="en-GB"/>
        </w:rPr>
        <w:t>or oral use</w:t>
      </w:r>
      <w:r w:rsidRPr="009576E3">
        <w:rPr>
          <w:rFonts w:asciiTheme="minorHAnsi" w:hAnsiTheme="minorHAnsi"/>
          <w:lang w:val="en-GB"/>
        </w:rPr>
        <w:t>. The bottle must be shaken before use.</w:t>
      </w:r>
    </w:p>
    <w:p w:rsidR="00155C90" w:rsidRPr="009576E3" w:rsidRDefault="00155C90" w:rsidP="009576E3">
      <w:pPr>
        <w:pStyle w:val="ListParagraph"/>
        <w:numPr>
          <w:ilvl w:val="0"/>
          <w:numId w:val="19"/>
        </w:numPr>
        <w:spacing w:line="360" w:lineRule="auto"/>
        <w:ind w:left="426"/>
        <w:rPr>
          <w:rFonts w:asciiTheme="minorHAnsi" w:hAnsiTheme="minorHAnsi"/>
          <w:lang w:val="en-GB"/>
        </w:rPr>
      </w:pPr>
      <w:r w:rsidRPr="009576E3">
        <w:rPr>
          <w:rFonts w:asciiTheme="minorHAnsi" w:hAnsiTheme="minorHAnsi"/>
          <w:lang w:val="en-GB"/>
        </w:rPr>
        <w:t xml:space="preserve">Optimal efficacy of </w:t>
      </w:r>
      <w:proofErr w:type="spellStart"/>
      <w:r w:rsidRPr="009576E3">
        <w:rPr>
          <w:rFonts w:asciiTheme="minorHAnsi" w:hAnsiTheme="minorHAnsi"/>
          <w:lang w:val="en-GB"/>
        </w:rPr>
        <w:t>Pedifen</w:t>
      </w:r>
      <w:proofErr w:type="spellEnd"/>
      <w:r w:rsidRPr="009576E3">
        <w:rPr>
          <w:rFonts w:asciiTheme="minorHAnsi" w:hAnsiTheme="minorHAnsi"/>
          <w:lang w:val="en-GB"/>
        </w:rPr>
        <w:t xml:space="preserve"> </w:t>
      </w:r>
      <w:proofErr w:type="spellStart"/>
      <w:r w:rsidR="00E85B74">
        <w:rPr>
          <w:rFonts w:asciiTheme="minorHAnsi" w:hAnsiTheme="minorHAnsi"/>
          <w:lang w:val="en-GB"/>
        </w:rPr>
        <w:t>Pediatric</w:t>
      </w:r>
      <w:proofErr w:type="spellEnd"/>
      <w:r w:rsidRPr="009576E3">
        <w:rPr>
          <w:rFonts w:asciiTheme="minorHAnsi" w:hAnsiTheme="minorHAnsi"/>
          <w:lang w:val="en-GB"/>
        </w:rPr>
        <w:t xml:space="preserve"> Suspension is achieved when the product is taken on an empty stomach or before meals.</w:t>
      </w:r>
    </w:p>
    <w:p w:rsidR="00155C90" w:rsidRPr="009576E3" w:rsidRDefault="00155C90" w:rsidP="009576E3">
      <w:pPr>
        <w:pStyle w:val="ListParagraph"/>
        <w:numPr>
          <w:ilvl w:val="0"/>
          <w:numId w:val="19"/>
        </w:numPr>
        <w:spacing w:line="360" w:lineRule="auto"/>
        <w:ind w:left="426"/>
        <w:rPr>
          <w:rFonts w:asciiTheme="minorHAnsi" w:hAnsiTheme="minorHAnsi"/>
          <w:b/>
          <w:lang w:val="en-GB"/>
        </w:rPr>
      </w:pPr>
      <w:r w:rsidRPr="009576E3">
        <w:rPr>
          <w:rFonts w:asciiTheme="minorHAnsi" w:hAnsiTheme="minorHAnsi"/>
          <w:lang w:val="en-GB"/>
        </w:rPr>
        <w:t xml:space="preserve">In sensitive stomach patients, however, it is advisable to take </w:t>
      </w:r>
      <w:proofErr w:type="spellStart"/>
      <w:r w:rsidRPr="009576E3">
        <w:rPr>
          <w:rFonts w:asciiTheme="minorHAnsi" w:hAnsiTheme="minorHAnsi"/>
          <w:lang w:val="en-GB"/>
        </w:rPr>
        <w:t>Pedifen</w:t>
      </w:r>
      <w:proofErr w:type="spellEnd"/>
      <w:r w:rsidRPr="009576E3">
        <w:rPr>
          <w:rFonts w:asciiTheme="minorHAnsi" w:hAnsiTheme="minorHAnsi"/>
          <w:lang w:val="en-GB"/>
        </w:rPr>
        <w:t xml:space="preserve"> </w:t>
      </w:r>
      <w:proofErr w:type="spellStart"/>
      <w:r w:rsidR="00E85B74">
        <w:rPr>
          <w:rFonts w:asciiTheme="minorHAnsi" w:hAnsiTheme="minorHAnsi"/>
          <w:lang w:val="en-GB"/>
        </w:rPr>
        <w:t>Pediatric</w:t>
      </w:r>
      <w:proofErr w:type="spellEnd"/>
      <w:r w:rsidRPr="009576E3">
        <w:rPr>
          <w:rFonts w:asciiTheme="minorHAnsi" w:hAnsiTheme="minorHAnsi"/>
          <w:lang w:val="en-GB"/>
        </w:rPr>
        <w:t xml:space="preserve"> Suspension during a meal</w:t>
      </w:r>
    </w:p>
    <w:p w:rsidR="004B2856" w:rsidRPr="009576E3" w:rsidRDefault="004B2856" w:rsidP="009576E3">
      <w:pPr>
        <w:pStyle w:val="ListParagraph"/>
        <w:numPr>
          <w:ilvl w:val="0"/>
          <w:numId w:val="19"/>
        </w:numPr>
        <w:spacing w:line="360" w:lineRule="auto"/>
        <w:ind w:left="426"/>
        <w:rPr>
          <w:rFonts w:asciiTheme="minorHAnsi" w:hAnsiTheme="minorHAnsi"/>
          <w:b/>
          <w:lang w:val="en-GB"/>
        </w:rPr>
      </w:pPr>
      <w:r w:rsidRPr="009576E3">
        <w:rPr>
          <w:rFonts w:asciiTheme="minorHAnsi" w:hAnsiTheme="minorHAnsi"/>
          <w:lang w:val="en-GB"/>
        </w:rPr>
        <w:t>Adverse effects can be minimized by using the lowest effective dose for</w:t>
      </w:r>
      <w:r w:rsidRPr="009576E3">
        <w:rPr>
          <w:rFonts w:asciiTheme="minorHAnsi" w:hAnsiTheme="minorHAnsi"/>
        </w:rPr>
        <w:t xml:space="preserve"> </w:t>
      </w:r>
      <w:r w:rsidRPr="009576E3">
        <w:rPr>
          <w:rFonts w:asciiTheme="minorHAnsi" w:hAnsiTheme="minorHAnsi"/>
          <w:lang w:val="en-GB"/>
        </w:rPr>
        <w:t>the shortest possible duration necessary for symptom control</w:t>
      </w:r>
    </w:p>
    <w:p w:rsidR="00155C90" w:rsidRPr="009576E3" w:rsidRDefault="00155C90" w:rsidP="009576E3">
      <w:pPr>
        <w:pStyle w:val="ListParagraph"/>
        <w:spacing w:line="360" w:lineRule="auto"/>
        <w:ind w:left="0"/>
        <w:rPr>
          <w:rFonts w:asciiTheme="minorHAnsi" w:hAnsiTheme="minorHAnsi"/>
          <w:b/>
          <w:lang w:val="en-GB"/>
        </w:rPr>
      </w:pPr>
    </w:p>
    <w:p w:rsidR="00AE30FE" w:rsidRPr="00572992"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572992">
        <w:rPr>
          <w:rFonts w:asciiTheme="minorHAnsi" w:hAnsiTheme="minorHAnsi"/>
          <w:b/>
          <w:sz w:val="26"/>
          <w:szCs w:val="26"/>
          <w:lang w:val="en-GB"/>
        </w:rPr>
        <w:t>Contraindications</w:t>
      </w:r>
    </w:p>
    <w:p w:rsidR="00155C90" w:rsidRPr="009576E3" w:rsidRDefault="00155C90" w:rsidP="00572992">
      <w:pPr>
        <w:pStyle w:val="ListParagraph"/>
        <w:spacing w:line="360" w:lineRule="auto"/>
        <w:ind w:left="132"/>
        <w:rPr>
          <w:rFonts w:asciiTheme="minorHAnsi" w:hAnsiTheme="minorHAnsi"/>
          <w:lang w:val="en-GB"/>
        </w:rPr>
      </w:pPr>
      <w:proofErr w:type="spellStart"/>
      <w:r w:rsidRPr="009576E3">
        <w:rPr>
          <w:rFonts w:asciiTheme="minorHAnsi" w:hAnsiTheme="minorHAnsi"/>
          <w:lang w:val="en-GB"/>
        </w:rPr>
        <w:t>Pedifen</w:t>
      </w:r>
      <w:proofErr w:type="spellEnd"/>
      <w:r w:rsidRPr="009576E3">
        <w:rPr>
          <w:rFonts w:asciiTheme="minorHAnsi" w:hAnsiTheme="minorHAnsi"/>
          <w:lang w:val="en-GB"/>
        </w:rPr>
        <w:t xml:space="preserve"> </w:t>
      </w:r>
      <w:proofErr w:type="spellStart"/>
      <w:r w:rsidR="00E85B74">
        <w:rPr>
          <w:rFonts w:asciiTheme="minorHAnsi" w:hAnsiTheme="minorHAnsi"/>
          <w:lang w:val="en-GB"/>
        </w:rPr>
        <w:t>Pediatric</w:t>
      </w:r>
      <w:proofErr w:type="spellEnd"/>
      <w:r w:rsidRPr="009576E3">
        <w:rPr>
          <w:rFonts w:asciiTheme="minorHAnsi" w:hAnsiTheme="minorHAnsi"/>
          <w:lang w:val="en-GB"/>
        </w:rPr>
        <w:t xml:space="preserve"> Suspension is contraindicated in patients:</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 xml:space="preserve">with hypersensitivity to ibuprofen, other non-steroidal anti-inflammatory drugs (NSAIDs), or any of the excipients listed in section </w:t>
      </w:r>
      <w:proofErr w:type="gramStart"/>
      <w:r w:rsidRPr="009576E3">
        <w:rPr>
          <w:rFonts w:asciiTheme="minorHAnsi" w:hAnsiTheme="minorHAnsi"/>
          <w:lang w:val="en-GB"/>
        </w:rPr>
        <w:t>6.1 .</w:t>
      </w:r>
      <w:proofErr w:type="gramEnd"/>
      <w:r w:rsidRPr="009576E3">
        <w:rPr>
          <w:rFonts w:asciiTheme="minorHAnsi" w:hAnsiTheme="minorHAnsi"/>
          <w:lang w:val="en-GB"/>
        </w:rPr>
        <w:t>;</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with a history of bronchospasm, asthma, angioedema, swelling of the nasal mucosa or skin reaction (</w:t>
      </w:r>
      <w:proofErr w:type="spellStart"/>
      <w:r w:rsidRPr="009576E3">
        <w:rPr>
          <w:rFonts w:asciiTheme="minorHAnsi" w:hAnsiTheme="minorHAnsi"/>
          <w:lang w:val="en-GB"/>
        </w:rPr>
        <w:t>eg</w:t>
      </w:r>
      <w:proofErr w:type="spellEnd"/>
      <w:r w:rsidRPr="009576E3">
        <w:rPr>
          <w:rFonts w:asciiTheme="minorHAnsi" w:hAnsiTheme="minorHAnsi"/>
          <w:lang w:val="en-GB"/>
        </w:rPr>
        <w:t xml:space="preserve"> </w:t>
      </w:r>
      <w:proofErr w:type="spellStart"/>
      <w:r w:rsidRPr="009576E3">
        <w:rPr>
          <w:rFonts w:asciiTheme="minorHAnsi" w:hAnsiTheme="minorHAnsi"/>
          <w:lang w:val="en-GB"/>
        </w:rPr>
        <w:t>urticaria</w:t>
      </w:r>
      <w:proofErr w:type="spellEnd"/>
      <w:r w:rsidRPr="009576E3">
        <w:rPr>
          <w:rFonts w:asciiTheme="minorHAnsi" w:hAnsiTheme="minorHAnsi"/>
          <w:lang w:val="en-GB"/>
        </w:rPr>
        <w:t>) after taking acetylsalicylic acid or other non-steroidal anti-inflammatory drugs (NSAIDs</w:t>
      </w:r>
      <w:proofErr w:type="gramStart"/>
      <w:r w:rsidRPr="009576E3">
        <w:rPr>
          <w:rFonts w:asciiTheme="minorHAnsi" w:hAnsiTheme="minorHAnsi"/>
          <w:lang w:val="en-GB"/>
        </w:rPr>
        <w:t>) )</w:t>
      </w:r>
      <w:proofErr w:type="gramEnd"/>
      <w:r w:rsidRPr="009576E3">
        <w:rPr>
          <w:rFonts w:asciiTheme="minorHAnsi" w:hAnsiTheme="minorHAnsi"/>
          <w:lang w:val="en-GB"/>
        </w:rPr>
        <w:t>;</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 xml:space="preserve">presenting unexplained disorders of </w:t>
      </w:r>
      <w:proofErr w:type="spellStart"/>
      <w:r w:rsidRPr="009576E3">
        <w:rPr>
          <w:rFonts w:asciiTheme="minorHAnsi" w:hAnsiTheme="minorHAnsi"/>
          <w:lang w:val="en-GB"/>
        </w:rPr>
        <w:t>hematopoiesis</w:t>
      </w:r>
      <w:proofErr w:type="spellEnd"/>
      <w:r w:rsidRPr="009576E3">
        <w:rPr>
          <w:rFonts w:asciiTheme="minorHAnsi" w:hAnsiTheme="minorHAnsi"/>
          <w:lang w:val="en-GB"/>
        </w:rPr>
        <w:t>;</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with active or past history of peptic ulcer / recurrent gastroduodenal bleeding (at least two distinct episodes of proven ulceration or bleeding);</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with a history of bleeding or perforation of the gastrointestinal tract related to previous treatment with NSAIDs;</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with cerebrovascular bleeding or other active bleeding;</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suffering from severe hepatic or renal insufficiency;</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have severe heart failure (NHYA Class IV);</w:t>
      </w:r>
    </w:p>
    <w:p w:rsidR="00155C90" w:rsidRPr="009576E3" w:rsidRDefault="00155C90" w:rsidP="00572992">
      <w:pPr>
        <w:pStyle w:val="ListParagraph"/>
        <w:numPr>
          <w:ilvl w:val="0"/>
          <w:numId w:val="20"/>
        </w:numPr>
        <w:spacing w:line="360" w:lineRule="auto"/>
        <w:ind w:left="558"/>
        <w:rPr>
          <w:rFonts w:asciiTheme="minorHAnsi" w:hAnsiTheme="minorHAnsi"/>
          <w:lang w:val="en-GB"/>
        </w:rPr>
      </w:pPr>
      <w:r w:rsidRPr="009576E3">
        <w:rPr>
          <w:rFonts w:asciiTheme="minorHAnsi" w:hAnsiTheme="minorHAnsi"/>
          <w:lang w:val="en-GB"/>
        </w:rPr>
        <w:t>during the last three months of pregnancy;</w:t>
      </w:r>
    </w:p>
    <w:p w:rsidR="00155C90" w:rsidRPr="009576E3" w:rsidRDefault="00155C90" w:rsidP="00572992">
      <w:pPr>
        <w:pStyle w:val="ListParagraph"/>
        <w:numPr>
          <w:ilvl w:val="0"/>
          <w:numId w:val="20"/>
        </w:numPr>
        <w:spacing w:line="360" w:lineRule="auto"/>
        <w:ind w:left="558"/>
        <w:rPr>
          <w:rFonts w:asciiTheme="minorHAnsi" w:hAnsiTheme="minorHAnsi"/>
          <w:b/>
          <w:lang w:val="en-GB"/>
        </w:rPr>
      </w:pPr>
      <w:r w:rsidRPr="009576E3">
        <w:rPr>
          <w:rFonts w:asciiTheme="minorHAnsi" w:hAnsiTheme="minorHAnsi"/>
          <w:lang w:val="en-GB"/>
        </w:rPr>
        <w:t xml:space="preserve">intense dehydration (due to vomiting, </w:t>
      </w:r>
      <w:proofErr w:type="spellStart"/>
      <w:r w:rsidRPr="009576E3">
        <w:rPr>
          <w:rFonts w:asciiTheme="minorHAnsi" w:hAnsiTheme="minorHAnsi"/>
          <w:lang w:val="en-GB"/>
        </w:rPr>
        <w:t>diarrhea</w:t>
      </w:r>
      <w:proofErr w:type="spellEnd"/>
      <w:r w:rsidRPr="009576E3">
        <w:rPr>
          <w:rFonts w:asciiTheme="minorHAnsi" w:hAnsiTheme="minorHAnsi"/>
          <w:lang w:val="en-GB"/>
        </w:rPr>
        <w:t xml:space="preserve"> or insufficient fluid intake)</w:t>
      </w:r>
    </w:p>
    <w:p w:rsidR="00D52D13" w:rsidRDefault="00D52D13">
      <w:pPr>
        <w:spacing w:after="0" w:line="240" w:lineRule="auto"/>
        <w:rPr>
          <w:rFonts w:asciiTheme="minorHAnsi" w:eastAsia="Times New Roman" w:hAnsiTheme="minorHAnsi"/>
          <w:b/>
          <w:lang w:val="en-GB"/>
        </w:rPr>
      </w:pPr>
      <w:r>
        <w:rPr>
          <w:rFonts w:asciiTheme="minorHAnsi" w:hAnsiTheme="minorHAnsi"/>
          <w:b/>
          <w:lang w:val="en-GB"/>
        </w:rPr>
        <w:br w:type="page"/>
      </w:r>
    </w:p>
    <w:p w:rsidR="00572992" w:rsidRPr="00B86B8B" w:rsidRDefault="00572992" w:rsidP="00572992">
      <w:pPr>
        <w:pStyle w:val="ListParagraph"/>
        <w:spacing w:line="360" w:lineRule="auto"/>
        <w:ind w:left="132"/>
        <w:rPr>
          <w:rFonts w:asciiTheme="minorHAnsi" w:hAnsiTheme="minorHAnsi"/>
          <w:b/>
          <w:lang w:val="en-GB"/>
        </w:rPr>
      </w:pPr>
    </w:p>
    <w:p w:rsidR="00DF29E6" w:rsidRPr="00572992" w:rsidRDefault="00DF29E6" w:rsidP="00DF29E6">
      <w:pPr>
        <w:pStyle w:val="ListParagraph"/>
        <w:numPr>
          <w:ilvl w:val="1"/>
          <w:numId w:val="12"/>
        </w:numPr>
        <w:spacing w:line="360" w:lineRule="auto"/>
        <w:ind w:left="0" w:firstLine="0"/>
        <w:rPr>
          <w:rFonts w:asciiTheme="minorHAnsi" w:hAnsiTheme="minorHAnsi"/>
          <w:b/>
          <w:sz w:val="26"/>
          <w:szCs w:val="26"/>
          <w:lang w:val="en-GB"/>
        </w:rPr>
      </w:pPr>
      <w:r w:rsidRPr="00572992">
        <w:rPr>
          <w:rFonts w:asciiTheme="minorHAnsi" w:hAnsiTheme="minorHAnsi"/>
          <w:b/>
          <w:sz w:val="26"/>
          <w:szCs w:val="26"/>
          <w:lang w:val="en-GB"/>
        </w:rPr>
        <w:t>Special warning and precautions for use</w:t>
      </w:r>
    </w:p>
    <w:p w:rsidR="00DF29E6" w:rsidRPr="00B86B8B" w:rsidRDefault="00DF29E6" w:rsidP="00DF29E6">
      <w:pPr>
        <w:pStyle w:val="ListParagraph"/>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General information</w:t>
      </w:r>
    </w:p>
    <w:p w:rsidR="00DF29E6" w:rsidRPr="00B86B8B" w:rsidRDefault="00DF29E6" w:rsidP="00DF29E6">
      <w:pPr>
        <w:pStyle w:val="ListParagraph"/>
        <w:spacing w:line="360" w:lineRule="auto"/>
        <w:ind w:left="567"/>
        <w:rPr>
          <w:rFonts w:asciiTheme="minorHAnsi" w:hAnsiTheme="minorHAnsi"/>
          <w:b/>
          <w:lang w:val="en-GB"/>
        </w:rPr>
      </w:pPr>
      <w:r w:rsidRPr="00B86B8B">
        <w:rPr>
          <w:rFonts w:asciiTheme="minorHAnsi" w:hAnsiTheme="minorHAnsi"/>
          <w:lang w:val="en-GB"/>
        </w:rPr>
        <w:t>NSAIDs may mask some symptoms of infectious diseases and thus delay their diagnosis.</w:t>
      </w:r>
    </w:p>
    <w:p w:rsidR="00DF29E6" w:rsidRPr="00B86B8B" w:rsidRDefault="00DF29E6" w:rsidP="00DF29E6">
      <w:pPr>
        <w:pStyle w:val="ListParagraph"/>
        <w:spacing w:line="360" w:lineRule="auto"/>
        <w:ind w:left="567"/>
        <w:rPr>
          <w:rFonts w:asciiTheme="minorHAnsi" w:hAnsiTheme="minorHAnsi"/>
          <w:b/>
          <w:lang w:val="en-GB"/>
        </w:rPr>
      </w:pPr>
    </w:p>
    <w:p w:rsidR="00DF29E6" w:rsidRPr="00B86B8B" w:rsidRDefault="00DF29E6" w:rsidP="00DF29E6">
      <w:pPr>
        <w:pStyle w:val="ListParagraph"/>
        <w:spacing w:line="360" w:lineRule="auto"/>
        <w:ind w:left="567"/>
        <w:rPr>
          <w:rFonts w:asciiTheme="minorHAnsi" w:hAnsiTheme="minorHAnsi"/>
          <w:b/>
          <w:lang w:val="en-GB"/>
        </w:rPr>
      </w:pPr>
      <w:r w:rsidRPr="00B86B8B">
        <w:rPr>
          <w:rFonts w:asciiTheme="minorHAnsi" w:hAnsiTheme="minorHAnsi"/>
          <w:b/>
          <w:lang w:val="en-GB"/>
        </w:rPr>
        <w:t>Gastrointestinal safety</w:t>
      </w:r>
    </w:p>
    <w:p w:rsidR="00DF29E6" w:rsidRPr="00B86B8B" w:rsidRDefault="00DF29E6" w:rsidP="00DF29E6">
      <w:pPr>
        <w:pStyle w:val="ListParagraph"/>
        <w:numPr>
          <w:ilvl w:val="0"/>
          <w:numId w:val="21"/>
        </w:numPr>
        <w:spacing w:line="360" w:lineRule="auto"/>
        <w:ind w:left="993"/>
        <w:rPr>
          <w:rFonts w:asciiTheme="minorHAnsi" w:hAnsiTheme="minorHAnsi"/>
          <w:lang w:val="en-GB"/>
        </w:rPr>
      </w:pPr>
      <w:r w:rsidRPr="00B86B8B">
        <w:rPr>
          <w:rFonts w:asciiTheme="minorHAnsi" w:hAnsiTheme="minorHAnsi"/>
          <w:lang w:val="en-GB"/>
        </w:rPr>
        <w:t>Elderly patients are more often subject to adverse effects of NSAIDs, particularly gastrointestinal bleeding and perforation, which can be fatal.</w:t>
      </w:r>
    </w:p>
    <w:p w:rsidR="00DF29E6" w:rsidRPr="00B86B8B" w:rsidRDefault="00DF29E6" w:rsidP="00DF29E6">
      <w:pPr>
        <w:pStyle w:val="ListParagraph"/>
        <w:numPr>
          <w:ilvl w:val="0"/>
          <w:numId w:val="21"/>
        </w:numPr>
        <w:spacing w:line="360" w:lineRule="auto"/>
        <w:ind w:left="993"/>
        <w:rPr>
          <w:rFonts w:asciiTheme="minorHAnsi" w:hAnsiTheme="minorHAnsi"/>
          <w:lang w:val="en-GB"/>
        </w:rPr>
      </w:pPr>
      <w:r w:rsidRPr="00B86B8B">
        <w:rPr>
          <w:rFonts w:asciiTheme="minorHAnsi" w:hAnsiTheme="minorHAnsi"/>
          <w:lang w:val="en-GB"/>
        </w:rPr>
        <w:t>The use of Ibuprofen should be avoided concomitantly with other NSAIDs, including selective cyclooxygenase-2 inhibitors.</w:t>
      </w:r>
    </w:p>
    <w:p w:rsidR="00DF29E6" w:rsidRDefault="00DF29E6" w:rsidP="00DF29E6">
      <w:pPr>
        <w:pStyle w:val="ListParagraph"/>
        <w:numPr>
          <w:ilvl w:val="0"/>
          <w:numId w:val="21"/>
        </w:numPr>
        <w:spacing w:line="360" w:lineRule="auto"/>
        <w:ind w:left="993"/>
        <w:rPr>
          <w:rFonts w:asciiTheme="minorHAnsi" w:hAnsiTheme="minorHAnsi"/>
          <w:lang w:val="en-GB"/>
        </w:rPr>
      </w:pPr>
      <w:r w:rsidRPr="00B86B8B">
        <w:rPr>
          <w:rFonts w:asciiTheme="minorHAnsi" w:hAnsiTheme="minorHAnsi"/>
          <w:lang w:val="en-GB"/>
        </w:rPr>
        <w:t>Adverse effects can be minimized by using the lowest effective dose for the shortest time needed to control symptoms.</w:t>
      </w:r>
    </w:p>
    <w:p w:rsidR="00DF29E6" w:rsidRPr="00B86B8B" w:rsidRDefault="00DF29E6" w:rsidP="00DF29E6">
      <w:pPr>
        <w:pStyle w:val="ListParagraph"/>
        <w:spacing w:line="360" w:lineRule="auto"/>
        <w:ind w:left="567"/>
        <w:rPr>
          <w:rFonts w:asciiTheme="minorHAnsi" w:hAnsiTheme="minorHAnsi"/>
          <w:lang w:val="en-GB"/>
        </w:rPr>
      </w:pPr>
    </w:p>
    <w:p w:rsidR="00DF29E6" w:rsidRDefault="00DF29E6" w:rsidP="00DF29E6">
      <w:pPr>
        <w:pStyle w:val="ListParagraph"/>
        <w:spacing w:line="360" w:lineRule="auto"/>
        <w:ind w:left="567"/>
        <w:rPr>
          <w:rFonts w:asciiTheme="minorHAnsi" w:hAnsiTheme="minorHAnsi"/>
          <w:b/>
          <w:lang w:val="en-GB"/>
        </w:rPr>
      </w:pPr>
      <w:r w:rsidRPr="0088374E">
        <w:rPr>
          <w:rFonts w:asciiTheme="minorHAnsi" w:hAnsiTheme="minorHAnsi"/>
          <w:b/>
          <w:lang w:val="en-GB"/>
        </w:rPr>
        <w:t>Haemorrhage, ulceration and GI perforation</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Cases of potentially fatal haemorrhage, ulceration, or perforation G-I have been reported with all NSAIDs at any time during treatment, with or without warning symptoms or a history of serious GI events.</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The risk of haemorrhage, ulceration or GI perforation is higher with increasing doses of NSAIDs, in patients with a history of ulcer - especially if associated with bleeding or perforation-type complications - and in elderly subjects. In these patients, treatment will be initiated at the lowest dose available. Combination therapy with protective agents (e.g. misoprostol or proton pump inhibitors) should be considered in these patients, as well as in patients requiring a concomitant low dose of acetylsalicylic acid or other medicinal products that increase the GI risk.</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Patients with a history of GI toxicity, especially if they are elderly, should report any unusual abdominal symptoms (especially GI bleeds) especially in the early stages of treatment.</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 xml:space="preserve">Caution should be exercised in patients receiving concomitant medications that may increase the risk of ulceration or bleeding, such as </w:t>
      </w:r>
      <w:proofErr w:type="spellStart"/>
      <w:r w:rsidR="00E85B74">
        <w:rPr>
          <w:rFonts w:asciiTheme="minorHAnsi" w:hAnsiTheme="minorHAnsi"/>
          <w:lang w:val="en-GB"/>
        </w:rPr>
        <w:t>pediatric</w:t>
      </w:r>
      <w:proofErr w:type="spellEnd"/>
      <w:r w:rsidRPr="00B86B8B">
        <w:rPr>
          <w:rFonts w:asciiTheme="minorHAnsi" w:hAnsiTheme="minorHAnsi"/>
          <w:lang w:val="en-GB"/>
        </w:rPr>
        <w:t xml:space="preserve"> corticosteroids, </w:t>
      </w:r>
      <w:r w:rsidRPr="00B86B8B">
        <w:rPr>
          <w:rFonts w:asciiTheme="minorHAnsi" w:hAnsiTheme="minorHAnsi"/>
          <w:lang w:val="en-GB"/>
        </w:rPr>
        <w:lastRenderedPageBreak/>
        <w:t>anticoagulants such as warfarin, selective serotonin reuptake inhibitors or antiplatelet agents such as acetylsalicylic acid.</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 xml:space="preserve">When haemorrhage or GI ulceration occurs in patients receiving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w:t>
      </w:r>
      <w:proofErr w:type="spellStart"/>
      <w:r w:rsidR="00E85B74">
        <w:rPr>
          <w:rFonts w:asciiTheme="minorHAnsi" w:hAnsiTheme="minorHAnsi"/>
          <w:lang w:val="en-GB"/>
        </w:rPr>
        <w:t>Pediatric</w:t>
      </w:r>
      <w:proofErr w:type="spellEnd"/>
      <w:r w:rsidRPr="00B86B8B">
        <w:rPr>
          <w:rFonts w:asciiTheme="minorHAnsi" w:hAnsiTheme="minorHAnsi"/>
          <w:lang w:val="en-GB"/>
        </w:rPr>
        <w:t xml:space="preserve"> Suspension, treatment should be discontinued.</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NSAIDs should be given with caution to patients with a history of GI disease (ulcerative colitis, Crohn's disease) as they may exacerbate these diseases.</w:t>
      </w:r>
    </w:p>
    <w:p w:rsidR="00DF29E6" w:rsidRPr="00B86B8B" w:rsidRDefault="00DF29E6" w:rsidP="00DF29E6">
      <w:pPr>
        <w:pStyle w:val="ListParagraph"/>
        <w:spacing w:line="360" w:lineRule="auto"/>
        <w:ind w:left="567"/>
        <w:rPr>
          <w:rFonts w:asciiTheme="minorHAnsi" w:hAnsiTheme="minorHAnsi"/>
          <w:lang w:val="en-GB"/>
        </w:rPr>
      </w:pPr>
    </w:p>
    <w:p w:rsidR="00DF29E6" w:rsidRPr="00B86B8B" w:rsidRDefault="00DF29E6" w:rsidP="00DF29E6">
      <w:pPr>
        <w:pStyle w:val="ListParagraph"/>
        <w:spacing w:line="360" w:lineRule="auto"/>
        <w:ind w:left="567"/>
        <w:rPr>
          <w:rFonts w:asciiTheme="minorHAnsi" w:hAnsiTheme="minorHAnsi"/>
          <w:b/>
          <w:lang w:val="en-GB"/>
        </w:rPr>
      </w:pPr>
      <w:r w:rsidRPr="00B86B8B">
        <w:rPr>
          <w:rFonts w:asciiTheme="minorHAnsi" w:hAnsiTheme="minorHAnsi"/>
          <w:b/>
          <w:lang w:val="en-GB"/>
        </w:rPr>
        <w:t>Cardiovascular and cerebrovascular effects</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Clinical studies suggest that the use of ibuprofen, particularly at high dose (2400 mg / day) is likely to be associated with a slightly increased risk of arterial thrombotic events (myocardial infarction or stroke, for example). Overall, epidemiological studies do not suggest that low doses of ibuprofen (</w:t>
      </w:r>
      <w:proofErr w:type="spellStart"/>
      <w:r w:rsidRPr="00B86B8B">
        <w:rPr>
          <w:rFonts w:asciiTheme="minorHAnsi" w:hAnsiTheme="minorHAnsi"/>
          <w:lang w:val="en-GB"/>
        </w:rPr>
        <w:t>eg</w:t>
      </w:r>
      <w:proofErr w:type="spellEnd"/>
      <w:r w:rsidRPr="00B86B8B">
        <w:rPr>
          <w:rFonts w:asciiTheme="minorHAnsi" w:hAnsiTheme="minorHAnsi"/>
          <w:lang w:val="en-GB"/>
        </w:rPr>
        <w:t>, ≤ 1200 mg / day) are associated with an increased risk of arterial thrombotic events.</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Patients with uncontrolled hypertension, congestive heart failure (NYHA II-III), established cardiac ischaemia, peripheral arterial disease and / or stroke should only be treated with ibuprofen after careful examination and high doses (2400 mg / day) should be avoided.</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An in-depth review should also be initiated prior to the initiation of long-term treatment of patients with risk factors for cardiovascular events (</w:t>
      </w:r>
      <w:proofErr w:type="spellStart"/>
      <w:r w:rsidRPr="00B86B8B">
        <w:rPr>
          <w:rFonts w:asciiTheme="minorHAnsi" w:hAnsiTheme="minorHAnsi"/>
          <w:lang w:val="en-GB"/>
        </w:rPr>
        <w:t>eg</w:t>
      </w:r>
      <w:proofErr w:type="spellEnd"/>
      <w:r w:rsidRPr="00B86B8B">
        <w:rPr>
          <w:rFonts w:asciiTheme="minorHAnsi" w:hAnsiTheme="minorHAnsi"/>
          <w:lang w:val="en-GB"/>
        </w:rPr>
        <w:t>, hypertension, hyperlipidaemia, diabetes, smoking), particularly if high doses (2400 mg / day) are required.</w:t>
      </w:r>
    </w:p>
    <w:p w:rsidR="00DF29E6" w:rsidRPr="00B86B8B" w:rsidRDefault="00DF29E6" w:rsidP="00DF29E6">
      <w:pPr>
        <w:pStyle w:val="ListParagraph"/>
        <w:spacing w:line="360" w:lineRule="auto"/>
        <w:ind w:left="567"/>
        <w:rPr>
          <w:rFonts w:asciiTheme="minorHAnsi" w:hAnsiTheme="minorHAnsi"/>
          <w:lang w:val="en-GB"/>
        </w:rPr>
      </w:pPr>
    </w:p>
    <w:p w:rsidR="00DF29E6" w:rsidRPr="00B86B8B" w:rsidRDefault="00DF29E6" w:rsidP="00DF29E6">
      <w:pPr>
        <w:pStyle w:val="ListParagraph"/>
        <w:spacing w:line="360" w:lineRule="auto"/>
        <w:ind w:left="567"/>
        <w:rPr>
          <w:rFonts w:asciiTheme="minorHAnsi" w:hAnsiTheme="minorHAnsi"/>
          <w:b/>
          <w:lang w:val="en-GB"/>
        </w:rPr>
      </w:pPr>
      <w:r w:rsidRPr="00B86B8B">
        <w:rPr>
          <w:rFonts w:asciiTheme="minorHAnsi" w:hAnsiTheme="minorHAnsi"/>
          <w:b/>
          <w:lang w:val="en-GB"/>
        </w:rPr>
        <w:t>Skin reactions</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t xml:space="preserve">Severe skin reactions, some of which may be fatal, including exfoliative dermatitis, Stevens-Johnson syndrome and toxic epidermal necrolysis / Lyell syndrome, have been reported very rarely in association with the use of NSAIDs. The risk of patients developing this type of reaction appears to be highest at the start of treatment: in the majority of cases, the reaction is triggered in the first month of treatment.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w:t>
      </w:r>
      <w:proofErr w:type="spellStart"/>
      <w:r w:rsidR="00E85B74">
        <w:rPr>
          <w:rFonts w:asciiTheme="minorHAnsi" w:hAnsiTheme="minorHAnsi"/>
          <w:lang w:val="en-GB"/>
        </w:rPr>
        <w:t>Pediatric</w:t>
      </w:r>
      <w:proofErr w:type="spellEnd"/>
      <w:r w:rsidRPr="00B86B8B">
        <w:rPr>
          <w:rFonts w:asciiTheme="minorHAnsi" w:hAnsiTheme="minorHAnsi"/>
          <w:lang w:val="en-GB"/>
        </w:rPr>
        <w:t xml:space="preserve"> Suspension should be stopped at the first sign of rash, mucosal lesions, or other signs of hypersensitivity.</w:t>
      </w:r>
    </w:p>
    <w:p w:rsidR="00DF29E6" w:rsidRPr="00B86B8B" w:rsidRDefault="00DF29E6" w:rsidP="00DF29E6">
      <w:pPr>
        <w:pStyle w:val="ListParagraph"/>
        <w:numPr>
          <w:ilvl w:val="0"/>
          <w:numId w:val="22"/>
        </w:numPr>
        <w:spacing w:line="360" w:lineRule="auto"/>
        <w:ind w:left="993"/>
        <w:rPr>
          <w:rFonts w:asciiTheme="minorHAnsi" w:hAnsiTheme="minorHAnsi"/>
          <w:lang w:val="en-GB"/>
        </w:rPr>
      </w:pPr>
      <w:r w:rsidRPr="00B86B8B">
        <w:rPr>
          <w:rFonts w:asciiTheme="minorHAnsi" w:hAnsiTheme="minorHAnsi"/>
          <w:lang w:val="en-GB"/>
        </w:rPr>
        <w:lastRenderedPageBreak/>
        <w:t>Exceptionally, chickenpox can cause severe infectious complications in the skin and soft tissues. Currently, it cannot be ruled out that NSAIDs can aggravate these infections. It is therefore advisable to avoid taking ibuprofen in case of chicken pox.</w:t>
      </w:r>
    </w:p>
    <w:p w:rsidR="00DF29E6" w:rsidRPr="00B86B8B" w:rsidRDefault="00DF29E6" w:rsidP="00DF29E6">
      <w:pPr>
        <w:pStyle w:val="ListParagraph"/>
        <w:spacing w:line="360" w:lineRule="auto"/>
        <w:ind w:left="567"/>
        <w:rPr>
          <w:rFonts w:asciiTheme="minorHAnsi" w:hAnsiTheme="minorHAnsi"/>
          <w:lang w:val="en-GB"/>
        </w:rPr>
      </w:pPr>
    </w:p>
    <w:p w:rsidR="00DF29E6" w:rsidRPr="00B86B8B" w:rsidRDefault="00DF29E6" w:rsidP="00DF29E6">
      <w:pPr>
        <w:pStyle w:val="ListParagraph"/>
        <w:spacing w:line="360" w:lineRule="auto"/>
        <w:ind w:left="567"/>
        <w:rPr>
          <w:rFonts w:asciiTheme="minorHAnsi" w:hAnsiTheme="minorHAnsi"/>
          <w:b/>
          <w:lang w:val="en-GB"/>
        </w:rPr>
      </w:pPr>
      <w:r w:rsidRPr="00B86B8B">
        <w:rPr>
          <w:rFonts w:asciiTheme="minorHAnsi" w:hAnsiTheme="minorHAnsi"/>
          <w:b/>
          <w:lang w:val="en-GB"/>
        </w:rPr>
        <w:t>Other remarks</w:t>
      </w:r>
    </w:p>
    <w:p w:rsidR="00DF29E6" w:rsidRPr="00B86B8B" w:rsidRDefault="00DF29E6" w:rsidP="00DF29E6">
      <w:pPr>
        <w:pStyle w:val="ListParagraph"/>
        <w:spacing w:line="360" w:lineRule="auto"/>
        <w:ind w:left="567"/>
        <w:rPr>
          <w:rFonts w:asciiTheme="minorHAnsi" w:hAnsiTheme="minorHAnsi"/>
          <w:lang w:val="en-GB"/>
        </w:rPr>
      </w:pPr>
      <w:r w:rsidRPr="00B86B8B">
        <w:rPr>
          <w:rFonts w:asciiTheme="minorHAnsi" w:hAnsiTheme="minorHAnsi"/>
          <w:lang w:val="en-GB"/>
        </w:rPr>
        <w:t>Patients with one of the following problems should be particularly cautious:</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congenital disorder of porphyrin metabolism (e.g. acute intermittent porphyria),</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systemic lupus erythematosus and mixed disorders of the connective tissue,</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gastrointestinal symptoms, ulcerative colitis or Crohn's disease,</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hypertension, oedema,</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heart failure,</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impairment of renal function,</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dehydration,</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liver problems,</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immediately after major surgery,</w:t>
      </w:r>
    </w:p>
    <w:p w:rsidR="00DF29E6" w:rsidRPr="00B86B8B" w:rsidRDefault="00DF29E6" w:rsidP="00DF29E6">
      <w:pPr>
        <w:pStyle w:val="ListParagraph"/>
        <w:numPr>
          <w:ilvl w:val="0"/>
          <w:numId w:val="23"/>
        </w:numPr>
        <w:spacing w:line="360" w:lineRule="auto"/>
        <w:ind w:left="993"/>
        <w:rPr>
          <w:rFonts w:asciiTheme="minorHAnsi" w:hAnsiTheme="minorHAnsi"/>
          <w:lang w:val="en-GB"/>
        </w:rPr>
      </w:pPr>
      <w:r w:rsidRPr="00B86B8B">
        <w:rPr>
          <w:rFonts w:asciiTheme="minorHAnsi" w:hAnsiTheme="minorHAnsi"/>
          <w:lang w:val="en-GB"/>
        </w:rPr>
        <w:t>fever, nasal polyps, chronic swelling of the nasal mucosa or chronic obstructive airway disorders</w:t>
      </w:r>
      <w:r>
        <w:rPr>
          <w:rFonts w:asciiTheme="minorHAnsi" w:hAnsiTheme="minorHAnsi"/>
          <w:lang w:val="en-GB"/>
        </w:rPr>
        <w:t xml:space="preserve"> because these p</w:t>
      </w:r>
      <w:r w:rsidRPr="00B86B8B">
        <w:rPr>
          <w:rFonts w:asciiTheme="minorHAnsi" w:hAnsiTheme="minorHAnsi"/>
          <w:lang w:val="en-GB"/>
        </w:rPr>
        <w:t xml:space="preserve">atients </w:t>
      </w:r>
      <w:r>
        <w:rPr>
          <w:rFonts w:asciiTheme="minorHAnsi" w:hAnsiTheme="minorHAnsi"/>
          <w:lang w:val="en-GB"/>
        </w:rPr>
        <w:t xml:space="preserve">when treated with ibuprofen, </w:t>
      </w:r>
      <w:r w:rsidRPr="00B86B8B">
        <w:rPr>
          <w:rFonts w:asciiTheme="minorHAnsi" w:hAnsiTheme="minorHAnsi"/>
          <w:lang w:val="en-GB"/>
        </w:rPr>
        <w:t>have a higher risk of allergic reaction, manifested as an asthma attack (known as analgesic asthma), angioedema, or hives;</w:t>
      </w:r>
    </w:p>
    <w:p w:rsidR="00DF29E6" w:rsidRPr="0088374E" w:rsidRDefault="00DF29E6" w:rsidP="00DF29E6">
      <w:pPr>
        <w:pStyle w:val="ListParagraph"/>
        <w:numPr>
          <w:ilvl w:val="0"/>
          <w:numId w:val="23"/>
        </w:numPr>
        <w:spacing w:line="360" w:lineRule="auto"/>
        <w:ind w:left="993"/>
        <w:rPr>
          <w:rFonts w:asciiTheme="minorHAnsi" w:hAnsiTheme="minorHAnsi"/>
          <w:lang w:val="en-GB"/>
        </w:rPr>
      </w:pPr>
      <w:r w:rsidRPr="0088374E">
        <w:rPr>
          <w:rFonts w:asciiTheme="minorHAnsi" w:hAnsiTheme="minorHAnsi"/>
          <w:lang w:val="en-GB"/>
        </w:rPr>
        <w:t>allergies to other substances</w:t>
      </w:r>
      <w:r>
        <w:rPr>
          <w:rFonts w:asciiTheme="minorHAnsi" w:hAnsiTheme="minorHAnsi"/>
          <w:lang w:val="en-GB"/>
        </w:rPr>
        <w:t xml:space="preserve"> because u</w:t>
      </w:r>
      <w:r w:rsidRPr="0088374E">
        <w:rPr>
          <w:rFonts w:asciiTheme="minorHAnsi" w:hAnsiTheme="minorHAnsi"/>
          <w:lang w:val="en-GB"/>
        </w:rPr>
        <w:t xml:space="preserve">nder treatment with </w:t>
      </w:r>
      <w:r>
        <w:rPr>
          <w:rFonts w:asciiTheme="minorHAnsi" w:hAnsiTheme="minorHAnsi"/>
          <w:lang w:val="en-GB"/>
        </w:rPr>
        <w:t>ibuprofen</w:t>
      </w:r>
      <w:r w:rsidRPr="0088374E">
        <w:rPr>
          <w:rFonts w:asciiTheme="minorHAnsi" w:hAnsiTheme="minorHAnsi"/>
          <w:lang w:val="en-GB"/>
        </w:rPr>
        <w:t>, these patients also have an increased risk of hypersensitivity reactions.</w:t>
      </w:r>
    </w:p>
    <w:p w:rsidR="00DF29E6" w:rsidRPr="00B86B8B" w:rsidRDefault="00DF29E6" w:rsidP="00DF29E6">
      <w:pPr>
        <w:pStyle w:val="ListParagraph"/>
        <w:spacing w:line="360" w:lineRule="auto"/>
        <w:ind w:left="567"/>
        <w:rPr>
          <w:rFonts w:asciiTheme="minorHAnsi" w:hAnsiTheme="minorHAnsi"/>
          <w:lang w:val="en-GB"/>
        </w:rPr>
      </w:pPr>
    </w:p>
    <w:p w:rsidR="00DF29E6" w:rsidRDefault="00DF29E6" w:rsidP="00DF29E6">
      <w:pPr>
        <w:pStyle w:val="ListParagraph"/>
        <w:spacing w:line="360" w:lineRule="auto"/>
        <w:ind w:left="567"/>
        <w:rPr>
          <w:rFonts w:asciiTheme="minorHAnsi" w:hAnsiTheme="minorHAnsi"/>
          <w:lang w:val="en-GB"/>
        </w:rPr>
      </w:pPr>
      <w:r w:rsidRPr="00B86B8B">
        <w:rPr>
          <w:rFonts w:asciiTheme="minorHAnsi" w:hAnsiTheme="minorHAnsi"/>
          <w:lang w:val="en-GB"/>
        </w:rPr>
        <w:t>Acute hypersensitivity reactions (e.g. anaphylactic shock) are very rare. At the first sign of a hypersensitivity reaction</w:t>
      </w:r>
      <w:r>
        <w:rPr>
          <w:rFonts w:asciiTheme="minorHAnsi" w:hAnsiTheme="minorHAnsi"/>
          <w:lang w:val="en-GB"/>
        </w:rPr>
        <w:t>s</w:t>
      </w:r>
      <w:r w:rsidRPr="00B86B8B">
        <w:rPr>
          <w:rFonts w:asciiTheme="minorHAnsi" w:hAnsiTheme="minorHAnsi"/>
          <w:lang w:val="en-GB"/>
        </w:rPr>
        <w:t xml:space="preserve"> </w:t>
      </w:r>
      <w:r>
        <w:rPr>
          <w:rFonts w:asciiTheme="minorHAnsi" w:hAnsiTheme="minorHAnsi"/>
          <w:lang w:val="en-GB"/>
        </w:rPr>
        <w:t xml:space="preserve">ibuprofen </w:t>
      </w:r>
      <w:r w:rsidRPr="00B86B8B">
        <w:rPr>
          <w:rFonts w:asciiTheme="minorHAnsi" w:hAnsiTheme="minorHAnsi"/>
          <w:lang w:val="en-GB"/>
        </w:rPr>
        <w:t xml:space="preserve">treatment should be </w:t>
      </w:r>
      <w:r>
        <w:rPr>
          <w:rFonts w:asciiTheme="minorHAnsi" w:hAnsiTheme="minorHAnsi"/>
          <w:lang w:val="en-GB"/>
        </w:rPr>
        <w:t xml:space="preserve">immediately </w:t>
      </w:r>
      <w:r w:rsidRPr="00B86B8B">
        <w:rPr>
          <w:rFonts w:asciiTheme="minorHAnsi" w:hAnsiTheme="minorHAnsi"/>
          <w:lang w:val="en-GB"/>
        </w:rPr>
        <w:t>discontinued. The medical measures required, depending on the symptoms, should be initiated by specialized personnel.</w:t>
      </w:r>
    </w:p>
    <w:p w:rsidR="00DF29E6" w:rsidRDefault="00DF29E6" w:rsidP="00DF29E6">
      <w:pPr>
        <w:pStyle w:val="ListParagraph"/>
        <w:spacing w:line="360" w:lineRule="auto"/>
        <w:ind w:left="567"/>
        <w:rPr>
          <w:rFonts w:asciiTheme="minorHAnsi" w:hAnsiTheme="minorHAnsi"/>
          <w:lang w:val="en-GB"/>
        </w:rPr>
      </w:pPr>
    </w:p>
    <w:p w:rsidR="00DF29E6" w:rsidRDefault="00DF29E6" w:rsidP="00DF29E6">
      <w:pPr>
        <w:pStyle w:val="ListParagraph"/>
        <w:spacing w:line="360" w:lineRule="auto"/>
        <w:ind w:left="567"/>
        <w:rPr>
          <w:rFonts w:asciiTheme="minorHAnsi" w:hAnsiTheme="minorHAnsi"/>
          <w:lang w:val="en-GB"/>
        </w:rPr>
      </w:pPr>
      <w:r w:rsidRPr="00B86B8B">
        <w:rPr>
          <w:rFonts w:asciiTheme="minorHAnsi" w:hAnsiTheme="minorHAnsi"/>
          <w:lang w:val="en-GB"/>
        </w:rPr>
        <w:t>Ibuprofen may temporarily inhibit platelet function (thrombocyte aggregation). Therefore, patients with bleeding disorders should be carefully monitored.</w:t>
      </w:r>
    </w:p>
    <w:p w:rsidR="00DF29E6" w:rsidRPr="00B86B8B" w:rsidRDefault="00DF29E6" w:rsidP="00DF29E6">
      <w:pPr>
        <w:pStyle w:val="ListParagraph"/>
        <w:spacing w:line="360" w:lineRule="auto"/>
        <w:ind w:left="567"/>
        <w:rPr>
          <w:rFonts w:asciiTheme="minorHAnsi" w:hAnsiTheme="minorHAnsi"/>
          <w:lang w:val="en-GB"/>
        </w:rPr>
      </w:pPr>
    </w:p>
    <w:p w:rsidR="00DF29E6" w:rsidRDefault="00DF29E6" w:rsidP="00DF29E6">
      <w:pPr>
        <w:pStyle w:val="ListParagraph"/>
        <w:spacing w:line="360" w:lineRule="auto"/>
        <w:ind w:left="567"/>
        <w:rPr>
          <w:rFonts w:asciiTheme="minorHAnsi" w:hAnsiTheme="minorHAnsi"/>
          <w:lang w:val="en-GB"/>
        </w:rPr>
      </w:pPr>
      <w:r w:rsidRPr="00B86B8B">
        <w:rPr>
          <w:rFonts w:asciiTheme="minorHAnsi" w:hAnsiTheme="minorHAnsi"/>
          <w:lang w:val="en-GB"/>
        </w:rPr>
        <w:lastRenderedPageBreak/>
        <w:t>Prolonged use of any type of analgesic to alleviate headache is likely to increase the intensity. In this case, it is recommended to consult a doctor and stop treatment. A diagnosis of overuse headache medication should be considered in patients with frequent or even daily headaches despite (or because of) regular use of medication to soothe them.</w:t>
      </w:r>
    </w:p>
    <w:p w:rsidR="00DF29E6" w:rsidRPr="00B86B8B" w:rsidRDefault="00DF29E6" w:rsidP="00DF29E6">
      <w:pPr>
        <w:pStyle w:val="ListParagraph"/>
        <w:spacing w:line="360" w:lineRule="auto"/>
        <w:ind w:left="567"/>
        <w:rPr>
          <w:rFonts w:asciiTheme="minorHAnsi" w:hAnsiTheme="minorHAnsi"/>
          <w:lang w:val="en-GB"/>
        </w:rPr>
      </w:pPr>
    </w:p>
    <w:p w:rsidR="00DF29E6" w:rsidRDefault="00DF29E6" w:rsidP="00DF29E6">
      <w:pPr>
        <w:pStyle w:val="ListParagraph"/>
        <w:spacing w:line="360" w:lineRule="auto"/>
        <w:ind w:left="567"/>
        <w:rPr>
          <w:rFonts w:asciiTheme="minorHAnsi" w:hAnsiTheme="minorHAnsi"/>
          <w:lang w:val="en-GB"/>
        </w:rPr>
      </w:pPr>
      <w:r w:rsidRPr="00B86B8B">
        <w:rPr>
          <w:rFonts w:asciiTheme="minorHAnsi" w:hAnsiTheme="minorHAnsi"/>
          <w:lang w:val="en-GB"/>
        </w:rPr>
        <w:t>The habitual repetitive ingestion of analgesics in general, but especially the combination of several analgesics may lead to permanent damage to the kidneys with risk of renal failure (nephropathy of analgesics).</w:t>
      </w:r>
    </w:p>
    <w:p w:rsidR="00DF29E6" w:rsidRPr="00B86B8B" w:rsidRDefault="00DF29E6" w:rsidP="00DF29E6">
      <w:pPr>
        <w:pStyle w:val="ListParagraph"/>
        <w:spacing w:line="360" w:lineRule="auto"/>
        <w:ind w:left="567"/>
        <w:rPr>
          <w:rFonts w:asciiTheme="minorHAnsi" w:hAnsiTheme="minorHAnsi"/>
          <w:lang w:val="en-GB"/>
        </w:rPr>
      </w:pPr>
    </w:p>
    <w:p w:rsidR="00DF29E6" w:rsidRPr="00B86B8B" w:rsidRDefault="00DF29E6" w:rsidP="00DF29E6">
      <w:pPr>
        <w:pStyle w:val="ListParagraph"/>
        <w:spacing w:line="360" w:lineRule="auto"/>
        <w:ind w:left="567"/>
        <w:rPr>
          <w:rFonts w:asciiTheme="minorHAnsi" w:hAnsiTheme="minorHAnsi"/>
          <w:lang w:val="en-GB"/>
        </w:rPr>
      </w:pPr>
      <w:r w:rsidRPr="00B86B8B">
        <w:rPr>
          <w:rFonts w:asciiTheme="minorHAnsi" w:hAnsiTheme="minorHAnsi"/>
          <w:lang w:val="en-GB"/>
        </w:rPr>
        <w:t xml:space="preserve">Alcohol consumption during </w:t>
      </w:r>
      <w:r>
        <w:rPr>
          <w:rFonts w:asciiTheme="minorHAnsi" w:hAnsiTheme="minorHAnsi"/>
          <w:lang w:val="en-GB"/>
        </w:rPr>
        <w:t>ibuprofen</w:t>
      </w:r>
      <w:r w:rsidRPr="00B86B8B">
        <w:rPr>
          <w:rFonts w:asciiTheme="minorHAnsi" w:hAnsiTheme="minorHAnsi"/>
          <w:lang w:val="en-GB"/>
        </w:rPr>
        <w:t xml:space="preserve"> treatment may worsen the </w:t>
      </w:r>
      <w:r>
        <w:rPr>
          <w:rFonts w:asciiTheme="minorHAnsi" w:hAnsiTheme="minorHAnsi"/>
          <w:lang w:val="en-GB"/>
        </w:rPr>
        <w:t>a</w:t>
      </w:r>
      <w:r w:rsidRPr="00B86B8B">
        <w:rPr>
          <w:rFonts w:asciiTheme="minorHAnsi" w:hAnsiTheme="minorHAnsi"/>
          <w:lang w:val="en-GB"/>
        </w:rPr>
        <w:t>dverse effects</w:t>
      </w:r>
      <w:r>
        <w:rPr>
          <w:rFonts w:asciiTheme="minorHAnsi" w:hAnsiTheme="minorHAnsi"/>
          <w:lang w:val="en-GB"/>
        </w:rPr>
        <w:t>, in</w:t>
      </w:r>
      <w:r w:rsidRPr="00B86B8B">
        <w:rPr>
          <w:rFonts w:asciiTheme="minorHAnsi" w:hAnsiTheme="minorHAnsi"/>
          <w:lang w:val="en-GB"/>
        </w:rPr>
        <w:t xml:space="preserve"> particular those affecting the gastrointestinal transit or the central nervous system.</w:t>
      </w:r>
    </w:p>
    <w:p w:rsidR="00572992" w:rsidRPr="00572992" w:rsidRDefault="00572992" w:rsidP="00572992">
      <w:pPr>
        <w:suppressAutoHyphens/>
        <w:spacing w:line="360" w:lineRule="auto"/>
        <w:ind w:left="567"/>
        <w:jc w:val="both"/>
        <w:rPr>
          <w:rFonts w:asciiTheme="minorHAnsi" w:hAnsiTheme="minorHAnsi"/>
          <w:b/>
          <w:lang w:val="fr-FR"/>
        </w:rPr>
      </w:pPr>
      <w:proofErr w:type="spellStart"/>
      <w:r>
        <w:rPr>
          <w:rFonts w:asciiTheme="minorHAnsi" w:hAnsiTheme="minorHAnsi"/>
          <w:b/>
          <w:lang w:val="fr-FR"/>
        </w:rPr>
        <w:t>Precautions</w:t>
      </w:r>
      <w:proofErr w:type="spellEnd"/>
      <w:r w:rsidRPr="00572992">
        <w:rPr>
          <w:rFonts w:asciiTheme="minorHAnsi" w:hAnsiTheme="minorHAnsi"/>
          <w:b/>
          <w:lang w:val="fr-FR"/>
        </w:rPr>
        <w:t>- excipients</w:t>
      </w:r>
    </w:p>
    <w:p w:rsidR="00572992" w:rsidRPr="00572992" w:rsidRDefault="00572992" w:rsidP="00572992">
      <w:pPr>
        <w:suppressAutoHyphens/>
        <w:spacing w:line="360" w:lineRule="auto"/>
        <w:ind w:left="567"/>
        <w:jc w:val="both"/>
        <w:rPr>
          <w:rFonts w:asciiTheme="minorHAnsi" w:hAnsiTheme="minorHAnsi"/>
        </w:rPr>
      </w:pPr>
      <w:proofErr w:type="spellStart"/>
      <w:r w:rsidRPr="00572992">
        <w:rPr>
          <w:rFonts w:asciiTheme="minorHAnsi" w:hAnsiTheme="minorHAnsi"/>
        </w:rPr>
        <w:t>Pedifen</w:t>
      </w:r>
      <w:proofErr w:type="spellEnd"/>
      <w:r w:rsidRPr="00572992">
        <w:rPr>
          <w:rFonts w:asciiTheme="minorHAnsi" w:hAnsiTheme="minorHAnsi"/>
        </w:rPr>
        <w:t xml:space="preserve"> pediatric suspension contains excipients which may cause allergic </w:t>
      </w:r>
      <w:r w:rsidR="00524865" w:rsidRPr="00572992">
        <w:rPr>
          <w:rFonts w:asciiTheme="minorHAnsi" w:hAnsiTheme="minorHAnsi"/>
        </w:rPr>
        <w:t>reactions</w:t>
      </w:r>
      <w:r w:rsidR="00524865">
        <w:rPr>
          <w:rFonts w:asciiTheme="minorHAnsi" w:hAnsiTheme="minorHAnsi"/>
        </w:rPr>
        <w:t>:</w:t>
      </w:r>
      <w:r w:rsidRPr="00572992">
        <w:rPr>
          <w:rFonts w:asciiTheme="minorHAnsi" w:hAnsiTheme="minorHAnsi"/>
        </w:rPr>
        <w:t xml:space="preserve">  Sunset yellow (E110</w:t>
      </w:r>
      <w:proofErr w:type="gramStart"/>
      <w:r w:rsidRPr="00572992">
        <w:rPr>
          <w:rFonts w:asciiTheme="minorHAnsi" w:hAnsiTheme="minorHAnsi"/>
        </w:rPr>
        <w:t>) ,</w:t>
      </w:r>
      <w:proofErr w:type="gramEnd"/>
      <w:r w:rsidRPr="00572992">
        <w:rPr>
          <w:rFonts w:asciiTheme="minorHAnsi" w:hAnsiTheme="minorHAnsi"/>
        </w:rPr>
        <w:t xml:space="preserve"> </w:t>
      </w:r>
      <w:r>
        <w:rPr>
          <w:rFonts w:asciiTheme="minorHAnsi" w:hAnsiTheme="minorHAnsi"/>
          <w:lang w:val="en-GB"/>
        </w:rPr>
        <w:t>M</w:t>
      </w:r>
      <w:r w:rsidRPr="009576E3">
        <w:rPr>
          <w:rFonts w:asciiTheme="minorHAnsi" w:hAnsiTheme="minorHAnsi"/>
          <w:lang w:val="en-GB"/>
        </w:rPr>
        <w:t xml:space="preserve">ethyl </w:t>
      </w:r>
      <w:proofErr w:type="spellStart"/>
      <w:r w:rsidRPr="009576E3">
        <w:rPr>
          <w:rFonts w:asciiTheme="minorHAnsi" w:hAnsiTheme="minorHAnsi"/>
          <w:lang w:val="en-GB"/>
        </w:rPr>
        <w:t>parahydroxybenzoate</w:t>
      </w:r>
      <w:proofErr w:type="spellEnd"/>
      <w:r>
        <w:rPr>
          <w:rFonts w:asciiTheme="minorHAnsi" w:hAnsiTheme="minorHAnsi"/>
          <w:lang w:val="en-GB"/>
        </w:rPr>
        <w:t xml:space="preserve"> </w:t>
      </w:r>
      <w:r w:rsidRPr="00572992">
        <w:rPr>
          <w:rFonts w:asciiTheme="minorHAnsi" w:hAnsiTheme="minorHAnsi"/>
        </w:rPr>
        <w:t xml:space="preserve">(E218) and </w:t>
      </w:r>
      <w:r>
        <w:rPr>
          <w:rFonts w:asciiTheme="minorHAnsi" w:hAnsiTheme="minorHAnsi"/>
        </w:rPr>
        <w:t>Propyl</w:t>
      </w:r>
      <w:r w:rsidRPr="009576E3">
        <w:rPr>
          <w:rFonts w:asciiTheme="minorHAnsi" w:hAnsiTheme="minorHAnsi"/>
          <w:lang w:val="en-GB"/>
        </w:rPr>
        <w:t xml:space="preserve"> </w:t>
      </w:r>
      <w:proofErr w:type="spellStart"/>
      <w:r w:rsidRPr="009576E3">
        <w:rPr>
          <w:rFonts w:asciiTheme="minorHAnsi" w:hAnsiTheme="minorHAnsi"/>
          <w:lang w:val="en-GB"/>
        </w:rPr>
        <w:t>parahydroxybenzoate</w:t>
      </w:r>
      <w:proofErr w:type="spellEnd"/>
      <w:r>
        <w:rPr>
          <w:rFonts w:asciiTheme="minorHAnsi" w:hAnsiTheme="minorHAnsi"/>
          <w:lang w:val="en-GB"/>
        </w:rPr>
        <w:t xml:space="preserve"> </w:t>
      </w:r>
      <w:r w:rsidRPr="00572992">
        <w:rPr>
          <w:rFonts w:asciiTheme="minorHAnsi" w:hAnsiTheme="minorHAnsi"/>
        </w:rPr>
        <w:t>(E215).</w:t>
      </w:r>
    </w:p>
    <w:p w:rsidR="00572992" w:rsidRPr="00572992" w:rsidRDefault="00572992" w:rsidP="00572992">
      <w:pPr>
        <w:suppressAutoHyphens/>
        <w:spacing w:line="360" w:lineRule="auto"/>
        <w:ind w:firstLine="567"/>
        <w:jc w:val="both"/>
        <w:rPr>
          <w:rFonts w:asciiTheme="minorHAnsi" w:hAnsiTheme="minorHAnsi"/>
        </w:rPr>
      </w:pPr>
      <w:r>
        <w:rPr>
          <w:rFonts w:asciiTheme="minorHAnsi" w:hAnsiTheme="minorHAnsi"/>
        </w:rPr>
        <w:t>Sodium benzoate</w:t>
      </w:r>
      <w:r w:rsidRPr="00572992">
        <w:rPr>
          <w:rFonts w:asciiTheme="minorHAnsi" w:hAnsiTheme="minorHAnsi"/>
        </w:rPr>
        <w:t xml:space="preserve"> (E211) which may increase jaundice in newborn babies.</w:t>
      </w:r>
    </w:p>
    <w:p w:rsidR="00572992" w:rsidRPr="00572992" w:rsidRDefault="00572992" w:rsidP="00572992">
      <w:pPr>
        <w:suppressAutoHyphens/>
        <w:spacing w:line="360" w:lineRule="auto"/>
        <w:ind w:firstLine="567"/>
        <w:jc w:val="both"/>
        <w:rPr>
          <w:rFonts w:asciiTheme="minorHAnsi" w:hAnsiTheme="minorHAnsi"/>
        </w:rPr>
      </w:pPr>
      <w:proofErr w:type="spellStart"/>
      <w:r w:rsidRPr="00572992">
        <w:rPr>
          <w:rFonts w:asciiTheme="minorHAnsi" w:hAnsiTheme="minorHAnsi"/>
        </w:rPr>
        <w:t>Pedifen</w:t>
      </w:r>
      <w:proofErr w:type="spellEnd"/>
      <w:r w:rsidRPr="00572992">
        <w:rPr>
          <w:rFonts w:asciiTheme="minorHAnsi" w:hAnsiTheme="minorHAnsi"/>
        </w:rPr>
        <w:t xml:space="preserve"> pediatric suspension contains sucrose and sorbitol.</w:t>
      </w:r>
    </w:p>
    <w:p w:rsidR="00572992" w:rsidRPr="00572992" w:rsidRDefault="00572992" w:rsidP="00DF29E6">
      <w:pPr>
        <w:pStyle w:val="ListParagraph"/>
        <w:spacing w:line="360" w:lineRule="auto"/>
        <w:ind w:left="567"/>
        <w:rPr>
          <w:rFonts w:asciiTheme="minorHAnsi" w:hAnsiTheme="minorHAnsi"/>
          <w:b/>
        </w:rPr>
      </w:pPr>
    </w:p>
    <w:p w:rsidR="00DF29E6" w:rsidRPr="00B86B8B" w:rsidRDefault="00DF29E6" w:rsidP="00DF29E6">
      <w:pPr>
        <w:pStyle w:val="ListParagraph"/>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Paediatric population</w:t>
      </w:r>
    </w:p>
    <w:p w:rsidR="00145F89" w:rsidRPr="00224946" w:rsidRDefault="00DF29E6" w:rsidP="002402A1">
      <w:pPr>
        <w:pStyle w:val="ListParagraph"/>
        <w:spacing w:line="360" w:lineRule="auto"/>
        <w:ind w:left="426"/>
        <w:rPr>
          <w:rFonts w:asciiTheme="minorHAnsi" w:hAnsiTheme="minorHAnsi"/>
          <w:lang w:val="en-GB"/>
        </w:rPr>
      </w:pPr>
      <w:r w:rsidRPr="00B86B8B">
        <w:rPr>
          <w:rFonts w:asciiTheme="minorHAnsi" w:hAnsiTheme="minorHAnsi"/>
          <w:lang w:val="en-GB"/>
        </w:rPr>
        <w:t>Ibuprofen drug can induce kidney failure in dehydrated children</w:t>
      </w:r>
      <w:r w:rsidR="00145F89">
        <w:rPr>
          <w:rFonts w:asciiTheme="minorHAnsi" w:hAnsiTheme="minorHAnsi"/>
          <w:lang w:val="en-GB"/>
        </w:rPr>
        <w:t xml:space="preserve">, especially in case of fever. It is important </w:t>
      </w:r>
      <w:r w:rsidR="00145F89" w:rsidRPr="00145F89">
        <w:rPr>
          <w:rFonts w:asciiTheme="minorHAnsi" w:hAnsiTheme="minorHAnsi"/>
          <w:lang w:val="en-GB"/>
        </w:rPr>
        <w:t>to hydrate sufficiently children</w:t>
      </w:r>
      <w:r w:rsidR="00145F89">
        <w:rPr>
          <w:rFonts w:asciiTheme="minorHAnsi" w:hAnsiTheme="minorHAnsi"/>
          <w:lang w:val="en-GB"/>
        </w:rPr>
        <w:t xml:space="preserve"> under </w:t>
      </w:r>
      <w:proofErr w:type="spellStart"/>
      <w:r w:rsidR="00145F89">
        <w:rPr>
          <w:rFonts w:asciiTheme="minorHAnsi" w:hAnsiTheme="minorHAnsi"/>
          <w:lang w:val="en-GB"/>
        </w:rPr>
        <w:t>Pedifen</w:t>
      </w:r>
      <w:proofErr w:type="spellEnd"/>
      <w:r w:rsidR="00145F89">
        <w:rPr>
          <w:rFonts w:asciiTheme="minorHAnsi" w:hAnsiTheme="minorHAnsi"/>
          <w:lang w:val="en-GB"/>
        </w:rPr>
        <w:t xml:space="preserve"> treatment</w:t>
      </w:r>
      <w:r w:rsidR="00145F89" w:rsidRPr="00145F89">
        <w:rPr>
          <w:rFonts w:asciiTheme="minorHAnsi" w:hAnsiTheme="minorHAnsi"/>
          <w:lang w:val="en-GB"/>
        </w:rPr>
        <w:t>.</w:t>
      </w:r>
    </w:p>
    <w:p w:rsidR="00524865" w:rsidRDefault="00524865">
      <w:pPr>
        <w:spacing w:after="0" w:line="240" w:lineRule="auto"/>
        <w:rPr>
          <w:rFonts w:asciiTheme="minorHAnsi" w:eastAsia="Times New Roman" w:hAnsiTheme="minorHAnsi"/>
          <w:b/>
          <w:lang w:val="en-GB"/>
        </w:rPr>
      </w:pPr>
      <w:r>
        <w:rPr>
          <w:rFonts w:asciiTheme="minorHAnsi" w:hAnsiTheme="minorHAnsi"/>
          <w:b/>
          <w:lang w:val="en-GB"/>
        </w:rPr>
        <w:br w:type="page"/>
      </w:r>
    </w:p>
    <w:p w:rsidR="00DF29E6" w:rsidRPr="00572992" w:rsidRDefault="00DF29E6" w:rsidP="00DF29E6">
      <w:pPr>
        <w:pStyle w:val="ListParagraph"/>
        <w:numPr>
          <w:ilvl w:val="1"/>
          <w:numId w:val="12"/>
        </w:numPr>
        <w:spacing w:line="360" w:lineRule="auto"/>
        <w:ind w:left="0" w:firstLine="0"/>
        <w:rPr>
          <w:rFonts w:asciiTheme="minorHAnsi" w:hAnsiTheme="minorHAnsi"/>
          <w:b/>
          <w:sz w:val="26"/>
          <w:szCs w:val="26"/>
          <w:lang w:val="en-GB"/>
        </w:rPr>
      </w:pPr>
      <w:r w:rsidRPr="00572992">
        <w:rPr>
          <w:rFonts w:asciiTheme="minorHAnsi" w:hAnsiTheme="minorHAnsi"/>
          <w:b/>
          <w:sz w:val="26"/>
          <w:szCs w:val="26"/>
          <w:lang w:val="en-GB"/>
        </w:rPr>
        <w:lastRenderedPageBreak/>
        <w:t>Interactions with other medicinal products and other forms of interactions</w:t>
      </w:r>
    </w:p>
    <w:p w:rsidR="00DF29E6" w:rsidRPr="00B86B8B" w:rsidRDefault="00DF29E6" w:rsidP="00DF29E6">
      <w:pPr>
        <w:pStyle w:val="ListParagraph"/>
        <w:spacing w:line="360" w:lineRule="auto"/>
        <w:ind w:left="0"/>
        <w:rPr>
          <w:rFonts w:asciiTheme="minorHAnsi" w:hAnsiTheme="minorHAnsi"/>
          <w:b/>
          <w:lang w:val="en-GB"/>
        </w:rPr>
      </w:pPr>
    </w:p>
    <w:p w:rsidR="00DF29E6" w:rsidRDefault="00DF29E6" w:rsidP="00DF29E6">
      <w:pPr>
        <w:pStyle w:val="ListParagraph"/>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General information</w:t>
      </w:r>
    </w:p>
    <w:p w:rsidR="00DF29E6" w:rsidRPr="00B86B8B" w:rsidRDefault="00DF29E6" w:rsidP="00DF29E6">
      <w:pPr>
        <w:pStyle w:val="ListParagraph"/>
        <w:spacing w:line="360" w:lineRule="auto"/>
        <w:ind w:left="0"/>
        <w:rPr>
          <w:rFonts w:asciiTheme="minorHAnsi" w:hAnsiTheme="minorHAnsi"/>
          <w:b/>
          <w:lang w:val="en-GB"/>
        </w:rPr>
      </w:pPr>
    </w:p>
    <w:p w:rsidR="00DF29E6" w:rsidRDefault="00DF29E6" w:rsidP="00524865">
      <w:pPr>
        <w:pStyle w:val="ListParagraph"/>
        <w:spacing w:line="360" w:lineRule="auto"/>
        <w:rPr>
          <w:rFonts w:asciiTheme="minorHAnsi" w:hAnsiTheme="minorHAnsi"/>
          <w:lang w:val="en-GB"/>
        </w:rPr>
      </w:pPr>
      <w:r w:rsidRPr="00B86B8B">
        <w:rPr>
          <w:rFonts w:asciiTheme="minorHAnsi" w:hAnsiTheme="minorHAnsi"/>
          <w:lang w:val="en-GB"/>
        </w:rPr>
        <w:t xml:space="preserve">Concomitant administration of multiple NSAIDs, salicylates </w:t>
      </w:r>
      <w:r w:rsidR="00E62336" w:rsidRPr="00B86B8B">
        <w:rPr>
          <w:rFonts w:asciiTheme="minorHAnsi" w:hAnsiTheme="minorHAnsi"/>
          <w:lang w:val="en-GB"/>
        </w:rPr>
        <w:t>included, may</w:t>
      </w:r>
      <w:r w:rsidRPr="00B86B8B">
        <w:rPr>
          <w:rFonts w:asciiTheme="minorHAnsi" w:hAnsiTheme="minorHAnsi"/>
          <w:lang w:val="en-GB"/>
        </w:rPr>
        <w:t xml:space="preserve"> increase the risk of gastrointestinal ulcers and bleeding due to a synergistic effect. Concomitant use of ibuprofen with other NSAIDs should therefore be avoided</w:t>
      </w:r>
      <w:r w:rsidR="005340F7">
        <w:rPr>
          <w:rFonts w:asciiTheme="minorHAnsi" w:hAnsiTheme="minorHAnsi"/>
          <w:lang w:val="en-GB"/>
        </w:rPr>
        <w:t>.</w:t>
      </w:r>
    </w:p>
    <w:p w:rsidR="00DF29E6" w:rsidRPr="00B86B8B" w:rsidRDefault="00DF29E6" w:rsidP="00DF29E6">
      <w:pPr>
        <w:pStyle w:val="ListParagraph"/>
        <w:spacing w:line="360" w:lineRule="auto"/>
        <w:ind w:left="0"/>
        <w:rPr>
          <w:rFonts w:asciiTheme="minorHAnsi" w:hAnsiTheme="minorHAnsi"/>
          <w:b/>
          <w:lang w:val="en-GB"/>
        </w:rPr>
      </w:pPr>
    </w:p>
    <w:p w:rsidR="00DF29E6" w:rsidRDefault="00DF29E6" w:rsidP="00DF29E6">
      <w:pPr>
        <w:pStyle w:val="ListParagraph"/>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Additional information on special populations</w:t>
      </w:r>
    </w:p>
    <w:p w:rsidR="00DF29E6" w:rsidRPr="00B86B8B" w:rsidRDefault="00DF29E6" w:rsidP="00DF29E6">
      <w:pPr>
        <w:pStyle w:val="ListParagraph"/>
        <w:spacing w:line="360" w:lineRule="auto"/>
        <w:ind w:left="0"/>
        <w:rPr>
          <w:rFonts w:asciiTheme="minorHAnsi" w:hAnsiTheme="minorHAnsi"/>
          <w:b/>
          <w:lang w:val="en-GB"/>
        </w:rPr>
      </w:pPr>
    </w:p>
    <w:p w:rsidR="00DF29E6" w:rsidRDefault="00DF29E6" w:rsidP="00E62336">
      <w:pPr>
        <w:pStyle w:val="ListParagraph"/>
        <w:spacing w:line="360" w:lineRule="auto"/>
        <w:rPr>
          <w:rFonts w:asciiTheme="minorHAnsi" w:hAnsiTheme="minorHAnsi"/>
          <w:b/>
          <w:lang w:val="en-GB"/>
        </w:rPr>
      </w:pPr>
      <w:r w:rsidRPr="00B86B8B">
        <w:rPr>
          <w:rFonts w:asciiTheme="minorHAnsi" w:hAnsiTheme="minorHAnsi"/>
          <w:b/>
          <w:lang w:val="en-GB"/>
        </w:rPr>
        <w:t>Acetylsalicylic acid</w:t>
      </w:r>
    </w:p>
    <w:p w:rsidR="00DF29E6" w:rsidRPr="00B86B8B"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Co administration of ibuprofen with acetylsalicylic acid is generally not recommended because of the increased potential for adverse effects. The experimental data suggest that ibuprofen competitively inhibits the effect of low doses of acetylsalicylic acid on platelet aggregation when administered concomitantly. Although there are uncertainties in extrapolating these data to clinical situations, the possibility that regular, long-term use of ibuprofen may reduce the </w:t>
      </w:r>
      <w:proofErr w:type="spellStart"/>
      <w:r w:rsidRPr="00B86B8B">
        <w:rPr>
          <w:rFonts w:asciiTheme="minorHAnsi" w:hAnsiTheme="minorHAnsi"/>
          <w:lang w:val="en-GB"/>
        </w:rPr>
        <w:t>cardioprotective</w:t>
      </w:r>
      <w:proofErr w:type="spellEnd"/>
      <w:r w:rsidRPr="00B86B8B">
        <w:rPr>
          <w:rFonts w:asciiTheme="minorHAnsi" w:hAnsiTheme="minorHAnsi"/>
          <w:lang w:val="en-GB"/>
        </w:rPr>
        <w:t xml:space="preserve"> effect of low-dose Acetylsalicylic cannot be excluded. No clinically relevant effect is considered likely for occasional use of ibuprofen.</w:t>
      </w:r>
    </w:p>
    <w:p w:rsidR="00DF29E6" w:rsidRDefault="00DF29E6" w:rsidP="00E62336">
      <w:pPr>
        <w:pStyle w:val="ListParagraph"/>
        <w:spacing w:line="360" w:lineRule="auto"/>
        <w:rPr>
          <w:rFonts w:asciiTheme="minorHAnsi" w:hAnsiTheme="minorHAnsi"/>
          <w:b/>
          <w:lang w:val="en-GB"/>
        </w:rPr>
      </w:pPr>
    </w:p>
    <w:p w:rsidR="00DF29E6" w:rsidRDefault="00DF29E6" w:rsidP="00E62336">
      <w:pPr>
        <w:pStyle w:val="ListParagraph"/>
        <w:spacing w:line="360" w:lineRule="auto"/>
        <w:rPr>
          <w:rFonts w:asciiTheme="minorHAnsi" w:hAnsiTheme="minorHAnsi"/>
          <w:b/>
          <w:lang w:val="en-GB"/>
        </w:rPr>
      </w:pPr>
      <w:r w:rsidRPr="00B86B8B">
        <w:rPr>
          <w:rFonts w:asciiTheme="minorHAnsi" w:hAnsiTheme="minorHAnsi"/>
          <w:b/>
          <w:lang w:val="en-GB"/>
        </w:rPr>
        <w:t>Glucocorticoids</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Increase the risk of ulceratio</w:t>
      </w:r>
      <w:r>
        <w:rPr>
          <w:rFonts w:asciiTheme="minorHAnsi" w:hAnsiTheme="minorHAnsi"/>
          <w:lang w:val="en-GB"/>
        </w:rPr>
        <w:t>n or gastrointestinal bleeding.</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b/>
          <w:lang w:val="en-GB"/>
        </w:rPr>
      </w:pPr>
      <w:r w:rsidRPr="00B86B8B">
        <w:rPr>
          <w:rFonts w:asciiTheme="minorHAnsi" w:hAnsiTheme="minorHAnsi"/>
          <w:b/>
          <w:lang w:val="en-GB"/>
        </w:rPr>
        <w:t xml:space="preserve">Diuretics, ACE inhibitors and angiotensin II antagonists </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NSAIDs can reduce the effect of diuretics and other antihypertensive drugs. In some patients with compromised renal function (e.g., dehydrated patients or elderly patients with compromised renal function), co-administration of an ACE inhibitor or angiotensin II Cyclooxygenase inhibitors may worsen the deterioration of renal function and may progress to acute renal failure, which is usually reversible. Therefore, an association with these medications requires caution, especially in the elderly. Patients should be properly hydrated and consideration of renal function should be considered after concomitant therapy. Subsequently, these checks will be </w:t>
      </w:r>
      <w:r w:rsidRPr="00B86B8B">
        <w:rPr>
          <w:rFonts w:asciiTheme="minorHAnsi" w:hAnsiTheme="minorHAnsi"/>
          <w:lang w:val="en-GB"/>
        </w:rPr>
        <w:lastRenderedPageBreak/>
        <w:t xml:space="preserve">repeated periodically. Concomitant administration of </w:t>
      </w:r>
      <w:r>
        <w:rPr>
          <w:rFonts w:asciiTheme="minorHAnsi" w:hAnsiTheme="minorHAnsi"/>
          <w:lang w:val="en-GB"/>
        </w:rPr>
        <w:t>ibuprofen</w:t>
      </w:r>
      <w:r w:rsidRPr="00B86B8B">
        <w:rPr>
          <w:rFonts w:asciiTheme="minorHAnsi" w:hAnsiTheme="minorHAnsi"/>
          <w:lang w:val="en-GB"/>
        </w:rPr>
        <w:t xml:space="preserve"> and potassium-sparing diuretics may lead to </w:t>
      </w:r>
      <w:proofErr w:type="spellStart"/>
      <w:r w:rsidRPr="00B86B8B">
        <w:rPr>
          <w:rFonts w:asciiTheme="minorHAnsi" w:hAnsiTheme="minorHAnsi"/>
          <w:lang w:val="en-GB"/>
        </w:rPr>
        <w:t>hyperkalemia</w:t>
      </w:r>
      <w:proofErr w:type="spellEnd"/>
      <w:r w:rsidRPr="00B86B8B">
        <w:rPr>
          <w:rFonts w:asciiTheme="minorHAnsi" w:hAnsiTheme="minorHAnsi"/>
          <w:lang w:val="en-GB"/>
        </w:rPr>
        <w:t>.</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b/>
          <w:lang w:val="en-GB"/>
        </w:rPr>
      </w:pPr>
      <w:r w:rsidRPr="00B86B8B">
        <w:rPr>
          <w:rFonts w:asciiTheme="minorHAnsi" w:hAnsiTheme="minorHAnsi"/>
          <w:b/>
          <w:lang w:val="en-GB"/>
        </w:rPr>
        <w:t>Antiplatelet agents and selective seroto</w:t>
      </w:r>
      <w:r>
        <w:rPr>
          <w:rFonts w:asciiTheme="minorHAnsi" w:hAnsiTheme="minorHAnsi"/>
          <w:b/>
          <w:lang w:val="en-GB"/>
        </w:rPr>
        <w:t>nin reuptake inhibitors (SSRIs)</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Increased risk of gastrointestinal bleeding.</w:t>
      </w:r>
      <w:r>
        <w:rPr>
          <w:rFonts w:asciiTheme="minorHAnsi" w:hAnsiTheme="minorHAnsi"/>
          <w:lang w:val="en-GB"/>
        </w:rPr>
        <w:t xml:space="preserve"> </w:t>
      </w:r>
    </w:p>
    <w:p w:rsidR="00DF29E6" w:rsidRPr="00B86B8B" w:rsidRDefault="00DF29E6" w:rsidP="00E62336">
      <w:pPr>
        <w:pStyle w:val="ListParagraph"/>
        <w:spacing w:line="360" w:lineRule="auto"/>
        <w:rPr>
          <w:rFonts w:asciiTheme="minorHAnsi" w:hAnsiTheme="minorHAnsi"/>
          <w:lang w:val="en-GB"/>
        </w:rPr>
      </w:pPr>
    </w:p>
    <w:p w:rsidR="00DF29E6" w:rsidRDefault="00D52D13" w:rsidP="00E62336">
      <w:pPr>
        <w:pStyle w:val="ListParagraph"/>
        <w:spacing w:line="360" w:lineRule="auto"/>
        <w:rPr>
          <w:rFonts w:asciiTheme="minorHAnsi" w:hAnsiTheme="minorHAnsi"/>
          <w:b/>
          <w:lang w:val="en-GB"/>
        </w:rPr>
      </w:pPr>
      <w:r w:rsidRPr="00B86B8B">
        <w:rPr>
          <w:rFonts w:asciiTheme="minorHAnsi" w:hAnsiTheme="minorHAnsi"/>
          <w:b/>
          <w:lang w:val="en-GB"/>
        </w:rPr>
        <w:t>Anti-coagulants</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NSAIDs can enhance the effect of anticoagulants such as warfarin.</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b/>
          <w:lang w:val="en-GB"/>
        </w:rPr>
      </w:pPr>
      <w:r w:rsidRPr="00B86B8B">
        <w:rPr>
          <w:rFonts w:asciiTheme="minorHAnsi" w:hAnsiTheme="minorHAnsi"/>
          <w:b/>
          <w:lang w:val="en-GB"/>
        </w:rPr>
        <w:t>Digoxin, phenytoin, lithium</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Concomitant use of </w:t>
      </w:r>
      <w:r w:rsidR="001122FF">
        <w:rPr>
          <w:rFonts w:asciiTheme="minorHAnsi" w:hAnsiTheme="minorHAnsi"/>
          <w:lang w:val="en-GB"/>
        </w:rPr>
        <w:t>ibuprofen</w:t>
      </w:r>
      <w:r w:rsidRPr="00B86B8B">
        <w:rPr>
          <w:rFonts w:asciiTheme="minorHAnsi" w:hAnsiTheme="minorHAnsi"/>
          <w:lang w:val="en-GB"/>
        </w:rPr>
        <w:t xml:space="preserve"> with medications containing digoxin, phenytoin, or lithium may increase serum levels of these medications. Verification of serum lithium, digoxin and phenytoin concentrations is not required for use in accordance with the recommendations (maximum of 4 days).</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b/>
          <w:lang w:val="en-GB"/>
        </w:rPr>
        <w:t>Methotrexate</w:t>
      </w:r>
      <w:r w:rsidRPr="00B86B8B">
        <w:rPr>
          <w:rFonts w:asciiTheme="minorHAnsi" w:hAnsiTheme="minorHAnsi"/>
          <w:lang w:val="en-GB"/>
        </w:rPr>
        <w:t xml:space="preserve"> </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Taking </w:t>
      </w:r>
      <w:r w:rsidR="001122FF">
        <w:rPr>
          <w:rFonts w:asciiTheme="minorHAnsi" w:hAnsiTheme="minorHAnsi"/>
          <w:lang w:val="en-GB"/>
        </w:rPr>
        <w:t>ibuprofen</w:t>
      </w:r>
      <w:r w:rsidRPr="00B86B8B">
        <w:rPr>
          <w:rFonts w:asciiTheme="minorHAnsi" w:hAnsiTheme="minorHAnsi"/>
          <w:lang w:val="en-GB"/>
        </w:rPr>
        <w:t xml:space="preserve"> within 24 hours before or after the administration of methotrexate may result in increased levels of methotrexate with increased toxicity.</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b/>
          <w:lang w:val="en-GB"/>
        </w:rPr>
        <w:t>Cyclosporine</w:t>
      </w:r>
      <w:r w:rsidRPr="00B86B8B">
        <w:rPr>
          <w:rFonts w:asciiTheme="minorHAnsi" w:hAnsiTheme="minorHAnsi"/>
          <w:lang w:val="en-GB"/>
        </w:rPr>
        <w:t xml:space="preserve"> </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The risk of cyclosporine-induced renal damage is increased when concomitant NSAIDs are administered. This effect cannot be excluded either in the case of an association with ibuprofen.</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b/>
          <w:lang w:val="en-GB"/>
        </w:rPr>
      </w:pPr>
      <w:r w:rsidRPr="00B86B8B">
        <w:rPr>
          <w:rFonts w:asciiTheme="minorHAnsi" w:hAnsiTheme="minorHAnsi"/>
          <w:b/>
          <w:lang w:val="en-GB"/>
        </w:rPr>
        <w:t>Sulfonylureas</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Clinical research has indicated interactions between nonsteroidal anti-inflammatory drugs and antidiabetic agents (sulfonylureas). Although no interaction between ibuprofen and sulfonylureas has been described to date, concomitant use of blood glucose is recommended as a precaution.</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b/>
          <w:lang w:val="en-GB"/>
        </w:rPr>
        <w:t>Tacrolimus</w:t>
      </w:r>
      <w:r w:rsidRPr="00B86B8B">
        <w:rPr>
          <w:rFonts w:asciiTheme="minorHAnsi" w:hAnsiTheme="minorHAnsi"/>
          <w:lang w:val="en-GB"/>
        </w:rPr>
        <w:t xml:space="preserve"> </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The risk of nephrotoxicity is increased if both drugs are administered concomitantly.</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b/>
          <w:lang w:val="en-GB"/>
        </w:rPr>
        <w:t>Zidovudine</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There is some evidence of an increased risk of </w:t>
      </w:r>
      <w:proofErr w:type="spellStart"/>
      <w:r w:rsidRPr="00B86B8B">
        <w:rPr>
          <w:rFonts w:asciiTheme="minorHAnsi" w:hAnsiTheme="minorHAnsi"/>
          <w:lang w:val="en-GB"/>
        </w:rPr>
        <w:t>haemarthrosis</w:t>
      </w:r>
      <w:proofErr w:type="spellEnd"/>
      <w:r w:rsidRPr="00B86B8B">
        <w:rPr>
          <w:rFonts w:asciiTheme="minorHAnsi" w:hAnsiTheme="minorHAnsi"/>
          <w:lang w:val="en-GB"/>
        </w:rPr>
        <w:t xml:space="preserve"> and haematoma in HIV-positive haemophiliacs taking zidovudine and ibuprofen concurrently.</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b/>
          <w:lang w:val="en-GB"/>
        </w:rPr>
        <w:t>Probenecid and sulfinpyrazone</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Drugs containing probenecid or sulfinpyrazone may slow the excretion of ibuprofen.</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b/>
          <w:lang w:val="en-GB"/>
        </w:rPr>
        <w:t>Quinolone antibiotics</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Animal studies indicate that NSAIDs may increase the risk of convulsions associated with quinolone antibiotics. NSAID and quinolone patients may be at higher risk of seizures.</w:t>
      </w:r>
    </w:p>
    <w:p w:rsidR="00DF29E6" w:rsidRPr="00B86B8B"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b/>
          <w:lang w:val="en-GB"/>
        </w:rPr>
        <w:t>Inhibitors of CYP2C9</w:t>
      </w:r>
    </w:p>
    <w:p w:rsidR="00DF29E6" w:rsidRPr="00B86B8B"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Concomitant administration of ibuprofen with CYP2C9 inhibitors may increase exposure to ibuprofen (CYP2C9 substrates). A study with </w:t>
      </w:r>
      <w:proofErr w:type="spellStart"/>
      <w:r w:rsidRPr="00B86B8B">
        <w:rPr>
          <w:rFonts w:asciiTheme="minorHAnsi" w:hAnsiTheme="minorHAnsi"/>
          <w:lang w:val="en-GB"/>
        </w:rPr>
        <w:t>voriconazole</w:t>
      </w:r>
      <w:proofErr w:type="spellEnd"/>
      <w:r w:rsidRPr="00B86B8B">
        <w:rPr>
          <w:rFonts w:asciiTheme="minorHAnsi" w:hAnsiTheme="minorHAnsi"/>
          <w:lang w:val="en-GB"/>
        </w:rPr>
        <w:t xml:space="preserve"> and fluconazole showed increased S (+) - ibuprofen exposure of approx. 80 to 100%. Concomitant use of strong CYP2C9 inhibitors may require a reduction in the dose of ibuprofen, particularly </w:t>
      </w:r>
      <w:proofErr w:type="spellStart"/>
      <w:r w:rsidRPr="00B86B8B">
        <w:rPr>
          <w:rFonts w:asciiTheme="minorHAnsi" w:hAnsiTheme="minorHAnsi"/>
          <w:lang w:val="en-GB"/>
        </w:rPr>
        <w:t>voriconazole</w:t>
      </w:r>
      <w:proofErr w:type="spellEnd"/>
      <w:r w:rsidRPr="00B86B8B">
        <w:rPr>
          <w:rFonts w:asciiTheme="minorHAnsi" w:hAnsiTheme="minorHAnsi"/>
          <w:lang w:val="en-GB"/>
        </w:rPr>
        <w:t xml:space="preserve"> or fluconazole at a higher dose.</w:t>
      </w:r>
    </w:p>
    <w:p w:rsidR="00DF29E6" w:rsidRPr="00B86B8B" w:rsidRDefault="00DF29E6" w:rsidP="00DF29E6">
      <w:pPr>
        <w:pStyle w:val="ListParagraph"/>
        <w:spacing w:line="360" w:lineRule="auto"/>
        <w:ind w:left="0"/>
        <w:rPr>
          <w:rFonts w:asciiTheme="minorHAnsi" w:hAnsiTheme="minorHAnsi"/>
          <w:b/>
          <w:lang w:val="en-GB"/>
        </w:rPr>
      </w:pPr>
    </w:p>
    <w:p w:rsidR="00DF29E6" w:rsidRPr="00E62336" w:rsidRDefault="00E62336" w:rsidP="00DF29E6">
      <w:pPr>
        <w:pStyle w:val="ListParagraph"/>
        <w:numPr>
          <w:ilvl w:val="1"/>
          <w:numId w:val="12"/>
        </w:numPr>
        <w:spacing w:line="360" w:lineRule="auto"/>
        <w:ind w:left="0" w:firstLine="0"/>
        <w:rPr>
          <w:rFonts w:asciiTheme="minorHAnsi" w:hAnsiTheme="minorHAnsi"/>
          <w:b/>
          <w:sz w:val="26"/>
          <w:szCs w:val="26"/>
          <w:lang w:val="en-GB"/>
        </w:rPr>
      </w:pPr>
      <w:r w:rsidRPr="00E62336">
        <w:rPr>
          <w:rFonts w:asciiTheme="minorHAnsi" w:hAnsiTheme="minorHAnsi"/>
          <w:b/>
          <w:sz w:val="26"/>
          <w:szCs w:val="26"/>
          <w:lang w:val="en-GB"/>
        </w:rPr>
        <w:t>Fertility, p</w:t>
      </w:r>
      <w:r w:rsidR="00DF29E6" w:rsidRPr="00E62336">
        <w:rPr>
          <w:rFonts w:asciiTheme="minorHAnsi" w:hAnsiTheme="minorHAnsi"/>
          <w:b/>
          <w:sz w:val="26"/>
          <w:szCs w:val="26"/>
          <w:lang w:val="en-GB"/>
        </w:rPr>
        <w:t>regnancy</w:t>
      </w:r>
      <w:r w:rsidRPr="00E62336">
        <w:rPr>
          <w:rFonts w:asciiTheme="minorHAnsi" w:hAnsiTheme="minorHAnsi"/>
          <w:b/>
          <w:sz w:val="26"/>
          <w:szCs w:val="26"/>
          <w:lang w:val="en-GB"/>
        </w:rPr>
        <w:t xml:space="preserve"> and</w:t>
      </w:r>
      <w:r w:rsidR="00DF29E6" w:rsidRPr="00E62336">
        <w:rPr>
          <w:rFonts w:asciiTheme="minorHAnsi" w:hAnsiTheme="minorHAnsi"/>
          <w:b/>
          <w:sz w:val="26"/>
          <w:szCs w:val="26"/>
          <w:lang w:val="en-GB"/>
        </w:rPr>
        <w:t xml:space="preserve"> lactation </w:t>
      </w:r>
    </w:p>
    <w:p w:rsidR="00DF29E6" w:rsidRPr="00B86B8B" w:rsidRDefault="00DF29E6" w:rsidP="00DF29E6">
      <w:pPr>
        <w:pStyle w:val="ListParagraph"/>
        <w:spacing w:line="360" w:lineRule="auto"/>
        <w:ind w:left="0"/>
        <w:rPr>
          <w:rFonts w:asciiTheme="minorHAnsi" w:hAnsiTheme="minorHAnsi"/>
          <w:b/>
          <w:lang w:val="en-GB"/>
        </w:rPr>
      </w:pPr>
    </w:p>
    <w:p w:rsidR="00E62336" w:rsidRPr="00B86B8B" w:rsidRDefault="00E62336" w:rsidP="00E62336">
      <w:pPr>
        <w:pStyle w:val="ListParagraph"/>
        <w:numPr>
          <w:ilvl w:val="2"/>
          <w:numId w:val="12"/>
        </w:numPr>
        <w:spacing w:line="360" w:lineRule="auto"/>
        <w:rPr>
          <w:rFonts w:asciiTheme="minorHAnsi" w:hAnsiTheme="minorHAnsi"/>
          <w:b/>
          <w:lang w:val="en-GB"/>
        </w:rPr>
      </w:pPr>
      <w:r w:rsidRPr="00B86B8B">
        <w:rPr>
          <w:rFonts w:asciiTheme="minorHAnsi" w:hAnsiTheme="minorHAnsi"/>
          <w:b/>
          <w:lang w:val="en-GB"/>
        </w:rPr>
        <w:t>Fertility</w:t>
      </w:r>
    </w:p>
    <w:p w:rsidR="00E62336" w:rsidRDefault="00E62336" w:rsidP="00E62336">
      <w:pPr>
        <w:pStyle w:val="ListParagraph"/>
        <w:spacing w:line="360" w:lineRule="auto"/>
        <w:rPr>
          <w:rFonts w:asciiTheme="minorHAnsi" w:hAnsiTheme="minorHAnsi"/>
          <w:lang w:val="en-GB"/>
        </w:rPr>
      </w:pPr>
      <w:r w:rsidRPr="00B86B8B">
        <w:rPr>
          <w:rFonts w:asciiTheme="minorHAnsi" w:hAnsiTheme="minorHAnsi"/>
          <w:lang w:val="en-GB"/>
        </w:rPr>
        <w:t>There is some evidence that substances that inhibit cyclooxygenase or prostaglandin synthesis may cause impaired female fertility by acting on ovulation. This effect is reversible when stopping treatment.</w:t>
      </w:r>
    </w:p>
    <w:p w:rsidR="0055268D" w:rsidRDefault="0055268D" w:rsidP="00E62336">
      <w:pPr>
        <w:pStyle w:val="ListParagraph"/>
        <w:spacing w:line="360" w:lineRule="auto"/>
        <w:rPr>
          <w:rFonts w:asciiTheme="minorHAnsi" w:hAnsiTheme="minorHAnsi"/>
          <w:lang w:val="en-GB"/>
        </w:rPr>
      </w:pPr>
    </w:p>
    <w:p w:rsidR="00DF29E6" w:rsidRPr="00B86B8B" w:rsidRDefault="00DF29E6" w:rsidP="00E62336">
      <w:pPr>
        <w:pStyle w:val="ListParagraph"/>
        <w:numPr>
          <w:ilvl w:val="2"/>
          <w:numId w:val="12"/>
        </w:numPr>
        <w:spacing w:line="360" w:lineRule="auto"/>
        <w:ind w:left="720" w:firstLine="0"/>
        <w:rPr>
          <w:rFonts w:asciiTheme="minorHAnsi" w:hAnsiTheme="minorHAnsi"/>
          <w:b/>
          <w:lang w:val="en-GB"/>
        </w:rPr>
      </w:pPr>
      <w:r w:rsidRPr="00B86B8B">
        <w:rPr>
          <w:rFonts w:asciiTheme="minorHAnsi" w:hAnsiTheme="minorHAnsi"/>
          <w:b/>
          <w:lang w:val="en-GB"/>
        </w:rPr>
        <w:t>Pregnancy</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Inhibition of prostaglandin synthesis may adversely affect pregnancy and / or embryonic / foetal development. Data from epidemiological studies suggest an increased risk of miscarriage, cardiac malformations and </w:t>
      </w:r>
      <w:proofErr w:type="spellStart"/>
      <w:r w:rsidRPr="00B86B8B">
        <w:rPr>
          <w:rFonts w:asciiTheme="minorHAnsi" w:hAnsiTheme="minorHAnsi"/>
          <w:lang w:val="en-GB"/>
        </w:rPr>
        <w:t>gastroschisis</w:t>
      </w:r>
      <w:proofErr w:type="spellEnd"/>
      <w:r w:rsidRPr="00B86B8B">
        <w:rPr>
          <w:rFonts w:asciiTheme="minorHAnsi" w:hAnsiTheme="minorHAnsi"/>
          <w:lang w:val="en-GB"/>
        </w:rPr>
        <w:t xml:space="preserve"> after the use of prostaglandin synthesis inhibitors in early pregnancy. The absolute risk of </w:t>
      </w:r>
      <w:r w:rsidRPr="00B86B8B">
        <w:rPr>
          <w:rFonts w:asciiTheme="minorHAnsi" w:hAnsiTheme="minorHAnsi"/>
          <w:lang w:val="en-GB"/>
        </w:rPr>
        <w:lastRenderedPageBreak/>
        <w:t>cardiovascular malformation increased from less than 1% to about 1.5%. It is believed that the risk increases with the dose and duration of treatment.</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In animals, administration of an inhibitor of prostaglandin synthesis has been shown to more frequently lead to embryonic loss before and after implantation and embryo-foetal lethality. In addition, increased incidences of various malformations, including cardiovascular malformations, have been reported in animals that received a prostaglandin synthesis inhibitor during the phase of organogenesis.</w:t>
      </w: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Ibuprofen should not be given to a pregnant woman during the </w:t>
      </w:r>
      <w:r w:rsidRPr="00897DDC">
        <w:rPr>
          <w:rFonts w:asciiTheme="minorHAnsi" w:hAnsiTheme="minorHAnsi"/>
          <w:b/>
          <w:lang w:val="en-GB"/>
        </w:rPr>
        <w:t>first and second trimesters</w:t>
      </w:r>
      <w:r w:rsidRPr="00B86B8B">
        <w:rPr>
          <w:rFonts w:asciiTheme="minorHAnsi" w:hAnsiTheme="minorHAnsi"/>
          <w:lang w:val="en-GB"/>
        </w:rPr>
        <w:t xml:space="preserve"> of pregnancy unless clearly necessary. If ibuprofen is used by a woman trying to conceive, or during the first or second trimester of pregnancy, the dose should be kept as low as possible and the duration of treatment as short as possible.</w:t>
      </w:r>
    </w:p>
    <w:p w:rsidR="00DF29E6" w:rsidRPr="00B86B8B"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During the </w:t>
      </w:r>
      <w:r w:rsidRPr="00897DDC">
        <w:rPr>
          <w:rFonts w:asciiTheme="minorHAnsi" w:hAnsiTheme="minorHAnsi"/>
          <w:b/>
          <w:lang w:val="en-GB"/>
        </w:rPr>
        <w:t>third trimester</w:t>
      </w:r>
      <w:r w:rsidRPr="00B86B8B">
        <w:rPr>
          <w:rFonts w:asciiTheme="minorHAnsi" w:hAnsiTheme="minorHAnsi"/>
          <w:lang w:val="en-GB"/>
        </w:rPr>
        <w:t xml:space="preserve"> of pregnancy, all the inhibitors of the synthesis of</w:t>
      </w:r>
      <w:r>
        <w:rPr>
          <w:rFonts w:asciiTheme="minorHAnsi" w:hAnsiTheme="minorHAnsi"/>
          <w:lang w:val="en-GB"/>
        </w:rPr>
        <w:t xml:space="preserve"> p</w:t>
      </w:r>
      <w:r w:rsidRPr="00B86B8B">
        <w:rPr>
          <w:rFonts w:asciiTheme="minorHAnsi" w:hAnsiTheme="minorHAnsi"/>
          <w:lang w:val="en-GB"/>
        </w:rPr>
        <w:t>rostaglandins may expose the foetus to the following risks:</w:t>
      </w:r>
    </w:p>
    <w:p w:rsidR="00DF29E6" w:rsidRPr="00B86B8B" w:rsidRDefault="00DF29E6" w:rsidP="00E62336">
      <w:pPr>
        <w:pStyle w:val="ListParagraph"/>
        <w:numPr>
          <w:ilvl w:val="0"/>
          <w:numId w:val="24"/>
        </w:numPr>
        <w:spacing w:line="360" w:lineRule="auto"/>
        <w:ind w:left="1440"/>
        <w:rPr>
          <w:rFonts w:asciiTheme="minorHAnsi" w:hAnsiTheme="minorHAnsi"/>
          <w:lang w:val="en-GB"/>
        </w:rPr>
      </w:pPr>
      <w:r w:rsidRPr="00B86B8B">
        <w:rPr>
          <w:rFonts w:asciiTheme="minorHAnsi" w:hAnsiTheme="minorHAnsi"/>
          <w:lang w:val="en-GB"/>
        </w:rPr>
        <w:t>cardiopulmonary toxicity (with premature closure of the ductus arteriosus and pulmonary hypertension);</w:t>
      </w:r>
    </w:p>
    <w:p w:rsidR="00DF29E6" w:rsidRPr="00B86B8B" w:rsidRDefault="00DF29E6" w:rsidP="00E62336">
      <w:pPr>
        <w:pStyle w:val="ListParagraph"/>
        <w:numPr>
          <w:ilvl w:val="0"/>
          <w:numId w:val="24"/>
        </w:numPr>
        <w:spacing w:line="360" w:lineRule="auto"/>
        <w:ind w:left="1440"/>
        <w:rPr>
          <w:rFonts w:asciiTheme="minorHAnsi" w:hAnsiTheme="minorHAnsi"/>
          <w:lang w:val="en-GB"/>
        </w:rPr>
      </w:pPr>
      <w:r w:rsidRPr="00B86B8B">
        <w:rPr>
          <w:rFonts w:asciiTheme="minorHAnsi" w:hAnsiTheme="minorHAnsi"/>
          <w:lang w:val="en-GB"/>
        </w:rPr>
        <w:t xml:space="preserve">renal dysfunction, which may progress to renal failure with </w:t>
      </w:r>
      <w:proofErr w:type="spellStart"/>
      <w:r w:rsidRPr="00B86B8B">
        <w:rPr>
          <w:rFonts w:asciiTheme="minorHAnsi" w:hAnsiTheme="minorHAnsi"/>
          <w:lang w:val="en-GB"/>
        </w:rPr>
        <w:t>oligohydroamniosis</w:t>
      </w:r>
      <w:proofErr w:type="spellEnd"/>
      <w:r w:rsidRPr="00B86B8B">
        <w:rPr>
          <w:rFonts w:asciiTheme="minorHAnsi" w:hAnsiTheme="minorHAnsi"/>
          <w:lang w:val="en-GB"/>
        </w:rPr>
        <w:t>;</w:t>
      </w:r>
    </w:p>
    <w:p w:rsidR="00DF29E6" w:rsidRPr="00B86B8B" w:rsidRDefault="00DF29E6" w:rsidP="00E62336">
      <w:pPr>
        <w:pStyle w:val="ListParagraph"/>
        <w:spacing w:line="360" w:lineRule="auto"/>
        <w:rPr>
          <w:rFonts w:asciiTheme="minorHAnsi" w:hAnsiTheme="minorHAnsi"/>
          <w:lang w:val="en-GB"/>
        </w:rPr>
      </w:pPr>
      <w:r w:rsidRPr="00897DDC">
        <w:rPr>
          <w:rFonts w:asciiTheme="minorHAnsi" w:hAnsiTheme="minorHAnsi"/>
          <w:b/>
          <w:lang w:val="en-GB"/>
        </w:rPr>
        <w:t>At the end of pregnancy</w:t>
      </w:r>
      <w:r w:rsidRPr="00B86B8B">
        <w:rPr>
          <w:rFonts w:asciiTheme="minorHAnsi" w:hAnsiTheme="minorHAnsi"/>
          <w:lang w:val="en-GB"/>
        </w:rPr>
        <w:t>, inhibitors of the synthesis of</w:t>
      </w:r>
      <w:r>
        <w:rPr>
          <w:rFonts w:asciiTheme="minorHAnsi" w:hAnsiTheme="minorHAnsi"/>
          <w:lang w:val="en-GB"/>
        </w:rPr>
        <w:t xml:space="preserve"> p</w:t>
      </w:r>
      <w:r w:rsidRPr="00B86B8B">
        <w:rPr>
          <w:rFonts w:asciiTheme="minorHAnsi" w:hAnsiTheme="minorHAnsi"/>
          <w:lang w:val="en-GB"/>
        </w:rPr>
        <w:t>rostaglandins may expose the mother and the child to:</w:t>
      </w:r>
    </w:p>
    <w:p w:rsidR="00DF29E6" w:rsidRPr="00B86B8B" w:rsidRDefault="00DF29E6" w:rsidP="00E62336">
      <w:pPr>
        <w:pStyle w:val="ListParagraph"/>
        <w:numPr>
          <w:ilvl w:val="0"/>
          <w:numId w:val="24"/>
        </w:numPr>
        <w:spacing w:line="360" w:lineRule="auto"/>
        <w:ind w:left="1440"/>
        <w:rPr>
          <w:rFonts w:asciiTheme="minorHAnsi" w:hAnsiTheme="minorHAnsi"/>
          <w:lang w:val="en-GB"/>
        </w:rPr>
      </w:pPr>
      <w:r w:rsidRPr="00B86B8B">
        <w:rPr>
          <w:rFonts w:asciiTheme="minorHAnsi" w:hAnsiTheme="minorHAnsi"/>
          <w:lang w:val="en-GB"/>
        </w:rPr>
        <w:t>a possible prolongation of the bleeding time, an anti-aggregating effect being able to manifest even at very low doses;</w:t>
      </w:r>
    </w:p>
    <w:p w:rsidR="00DF29E6" w:rsidRPr="00B86B8B" w:rsidRDefault="00DF29E6" w:rsidP="00E62336">
      <w:pPr>
        <w:pStyle w:val="ListParagraph"/>
        <w:numPr>
          <w:ilvl w:val="0"/>
          <w:numId w:val="24"/>
        </w:numPr>
        <w:spacing w:line="360" w:lineRule="auto"/>
        <w:ind w:left="1440"/>
        <w:rPr>
          <w:rFonts w:asciiTheme="minorHAnsi" w:hAnsiTheme="minorHAnsi"/>
          <w:lang w:val="en-GB"/>
        </w:rPr>
      </w:pPr>
      <w:r w:rsidRPr="00B86B8B">
        <w:rPr>
          <w:rFonts w:asciiTheme="minorHAnsi" w:hAnsiTheme="minorHAnsi"/>
          <w:lang w:val="en-GB"/>
        </w:rPr>
        <w:t>inhibition of uterine contractions leading to a delay or prolongation of labour.</w:t>
      </w:r>
    </w:p>
    <w:p w:rsidR="00DF29E6" w:rsidRDefault="00DF29E6" w:rsidP="00E62336">
      <w:pPr>
        <w:pStyle w:val="ListParagraph"/>
        <w:spacing w:line="360" w:lineRule="auto"/>
        <w:rPr>
          <w:rFonts w:asciiTheme="minorHAnsi" w:hAnsiTheme="minorHAnsi"/>
          <w:lang w:val="en-GB"/>
        </w:rPr>
      </w:pPr>
    </w:p>
    <w:p w:rsidR="00DF29E6" w:rsidRDefault="00DF29E6" w:rsidP="00E62336">
      <w:pPr>
        <w:pStyle w:val="ListParagraph"/>
        <w:spacing w:line="360" w:lineRule="auto"/>
        <w:rPr>
          <w:rFonts w:asciiTheme="minorHAnsi" w:hAnsiTheme="minorHAnsi"/>
          <w:lang w:val="en-GB"/>
        </w:rPr>
      </w:pPr>
      <w:r w:rsidRPr="00B86B8B">
        <w:rPr>
          <w:rFonts w:asciiTheme="minorHAnsi" w:hAnsiTheme="minorHAnsi"/>
          <w:lang w:val="en-GB"/>
        </w:rPr>
        <w:t xml:space="preserve">As a result, </w:t>
      </w:r>
      <w:r w:rsidRPr="00897DDC">
        <w:rPr>
          <w:rFonts w:asciiTheme="minorHAnsi" w:hAnsiTheme="minorHAnsi"/>
          <w:b/>
          <w:lang w:val="en-GB"/>
        </w:rPr>
        <w:t>ibuprofen is contraindicated during the third trimester</w:t>
      </w:r>
      <w:r w:rsidRPr="00B86B8B">
        <w:rPr>
          <w:rFonts w:asciiTheme="minorHAnsi" w:hAnsiTheme="minorHAnsi"/>
          <w:lang w:val="en-GB"/>
        </w:rPr>
        <w:t xml:space="preserve"> of pregnancy</w:t>
      </w:r>
    </w:p>
    <w:p w:rsidR="00DF29E6" w:rsidRPr="00B86B8B" w:rsidRDefault="00DF29E6" w:rsidP="00DF29E6">
      <w:pPr>
        <w:pStyle w:val="ListParagraph"/>
        <w:spacing w:line="360" w:lineRule="auto"/>
        <w:ind w:left="0"/>
        <w:rPr>
          <w:rFonts w:asciiTheme="minorHAnsi" w:hAnsiTheme="minorHAnsi"/>
          <w:lang w:val="en-GB"/>
        </w:rPr>
      </w:pPr>
    </w:p>
    <w:p w:rsidR="00DF29E6" w:rsidRPr="00B86B8B" w:rsidRDefault="00DF29E6" w:rsidP="00DF29E6">
      <w:pPr>
        <w:pStyle w:val="ListParagraph"/>
        <w:numPr>
          <w:ilvl w:val="2"/>
          <w:numId w:val="12"/>
        </w:numPr>
        <w:spacing w:line="360" w:lineRule="auto"/>
        <w:ind w:left="0" w:firstLine="0"/>
        <w:rPr>
          <w:rFonts w:asciiTheme="minorHAnsi" w:hAnsiTheme="minorHAnsi"/>
          <w:b/>
          <w:lang w:val="en-GB"/>
        </w:rPr>
      </w:pPr>
      <w:r w:rsidRPr="00B86B8B">
        <w:rPr>
          <w:rFonts w:asciiTheme="minorHAnsi" w:hAnsiTheme="minorHAnsi"/>
          <w:b/>
          <w:lang w:val="en-GB"/>
        </w:rPr>
        <w:t>Lactation</w:t>
      </w:r>
    </w:p>
    <w:p w:rsidR="00DF29E6" w:rsidRDefault="00DF29E6" w:rsidP="0055268D">
      <w:pPr>
        <w:pStyle w:val="ListParagraph"/>
        <w:spacing w:line="360" w:lineRule="auto"/>
        <w:rPr>
          <w:rFonts w:asciiTheme="minorHAnsi" w:hAnsiTheme="minorHAnsi"/>
          <w:lang w:val="en-GB"/>
        </w:rPr>
      </w:pPr>
      <w:r w:rsidRPr="00B86B8B">
        <w:rPr>
          <w:rFonts w:asciiTheme="minorHAnsi" w:hAnsiTheme="minorHAnsi"/>
          <w:lang w:val="en-GB"/>
        </w:rPr>
        <w:t>Small amounts of ibuprofen and its catabolic products are excreted in breast milk. Since no adverse effects to the infant have been reported to date, breastfeeding does not need to be interrupted if the recommended dose is short-term for mild-to-moderate pain or fever.</w:t>
      </w:r>
    </w:p>
    <w:p w:rsidR="00DF29E6" w:rsidRDefault="00DF29E6" w:rsidP="00DF29E6">
      <w:pPr>
        <w:pStyle w:val="ListParagraph"/>
        <w:spacing w:line="360" w:lineRule="auto"/>
        <w:ind w:left="0"/>
        <w:rPr>
          <w:rFonts w:asciiTheme="minorHAnsi" w:hAnsiTheme="minorHAnsi"/>
          <w:lang w:val="en-GB"/>
        </w:rPr>
      </w:pPr>
    </w:p>
    <w:p w:rsidR="0055268D" w:rsidRPr="00B86B8B" w:rsidRDefault="0055268D" w:rsidP="00DF29E6">
      <w:pPr>
        <w:pStyle w:val="ListParagraph"/>
        <w:spacing w:line="360" w:lineRule="auto"/>
        <w:ind w:left="0"/>
        <w:rPr>
          <w:rFonts w:asciiTheme="minorHAnsi" w:hAnsiTheme="minorHAnsi"/>
          <w:lang w:val="en-GB"/>
        </w:rPr>
      </w:pPr>
    </w:p>
    <w:p w:rsidR="00DF29E6" w:rsidRPr="0055268D" w:rsidRDefault="00DF29E6" w:rsidP="00DF29E6">
      <w:pPr>
        <w:pStyle w:val="ListParagraph"/>
        <w:numPr>
          <w:ilvl w:val="1"/>
          <w:numId w:val="12"/>
        </w:numPr>
        <w:spacing w:line="360" w:lineRule="auto"/>
        <w:ind w:left="0" w:firstLine="0"/>
        <w:rPr>
          <w:rFonts w:asciiTheme="minorHAnsi" w:hAnsiTheme="minorHAnsi"/>
          <w:b/>
          <w:sz w:val="26"/>
          <w:szCs w:val="26"/>
          <w:lang w:val="en-GB"/>
        </w:rPr>
      </w:pPr>
      <w:r w:rsidRPr="0055268D">
        <w:rPr>
          <w:rFonts w:asciiTheme="minorHAnsi" w:hAnsiTheme="minorHAnsi"/>
          <w:b/>
          <w:sz w:val="26"/>
          <w:szCs w:val="26"/>
          <w:lang w:val="en-GB"/>
        </w:rPr>
        <w:lastRenderedPageBreak/>
        <w:t>Effects on the ability to drive and use machines</w:t>
      </w:r>
    </w:p>
    <w:p w:rsidR="00DF29E6" w:rsidRDefault="00DF29E6" w:rsidP="00D52D13">
      <w:pPr>
        <w:pStyle w:val="ListParagraph"/>
        <w:spacing w:line="360" w:lineRule="auto"/>
        <w:rPr>
          <w:rFonts w:asciiTheme="minorHAnsi" w:hAnsiTheme="minorHAnsi"/>
          <w:lang w:val="en-GB"/>
        </w:rPr>
      </w:pPr>
      <w:r w:rsidRPr="00B86B8B">
        <w:rPr>
          <w:rFonts w:asciiTheme="minorHAnsi" w:hAnsiTheme="minorHAnsi"/>
          <w:lang w:val="en-GB"/>
        </w:rPr>
        <w:t xml:space="preserve">No alteration is to be expected after short-term ingestion of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w:t>
      </w:r>
      <w:proofErr w:type="spellStart"/>
      <w:r w:rsidR="00E85B74">
        <w:rPr>
          <w:rFonts w:asciiTheme="minorHAnsi" w:hAnsiTheme="minorHAnsi"/>
          <w:lang w:val="en-GB"/>
        </w:rPr>
        <w:t>Pediatric</w:t>
      </w:r>
      <w:proofErr w:type="spellEnd"/>
      <w:r w:rsidRPr="00B86B8B">
        <w:rPr>
          <w:rFonts w:asciiTheme="minorHAnsi" w:hAnsiTheme="minorHAnsi"/>
          <w:lang w:val="en-GB"/>
        </w:rPr>
        <w:t xml:space="preserve"> Suspension at the recommended doses. If higher doses of </w:t>
      </w:r>
      <w:proofErr w:type="spellStart"/>
      <w:r w:rsidRPr="00B86B8B">
        <w:rPr>
          <w:rFonts w:asciiTheme="minorHAnsi" w:hAnsiTheme="minorHAnsi"/>
          <w:lang w:val="en-GB"/>
        </w:rPr>
        <w:t>Pedifen</w:t>
      </w:r>
      <w:proofErr w:type="spellEnd"/>
      <w:r w:rsidRPr="00B86B8B">
        <w:rPr>
          <w:rFonts w:asciiTheme="minorHAnsi" w:hAnsiTheme="minorHAnsi"/>
          <w:lang w:val="en-GB"/>
        </w:rPr>
        <w:t xml:space="preserve"> </w:t>
      </w:r>
      <w:proofErr w:type="spellStart"/>
      <w:r w:rsidR="00E85B74">
        <w:rPr>
          <w:rFonts w:asciiTheme="minorHAnsi" w:hAnsiTheme="minorHAnsi"/>
          <w:lang w:val="en-GB"/>
        </w:rPr>
        <w:t>Pediatric</w:t>
      </w:r>
      <w:proofErr w:type="spellEnd"/>
      <w:r w:rsidRPr="00B86B8B">
        <w:rPr>
          <w:rFonts w:asciiTheme="minorHAnsi" w:hAnsiTheme="minorHAnsi"/>
          <w:lang w:val="en-GB"/>
        </w:rPr>
        <w:t xml:space="preserve"> Suspension are used, adverse effects may occur in the central nervous system, including fatigue and drowsiness, in some isolated cases reducing the ability to respond, to participate actively road traffic and the use of machines. This is particularly the case when concomitant intake of alcohol.</w:t>
      </w:r>
    </w:p>
    <w:p w:rsidR="00DF29E6" w:rsidRPr="00B86B8B" w:rsidRDefault="00DF29E6" w:rsidP="00DF29E6">
      <w:pPr>
        <w:pStyle w:val="ListParagraph"/>
        <w:spacing w:line="360" w:lineRule="auto"/>
        <w:ind w:left="0"/>
        <w:rPr>
          <w:rFonts w:asciiTheme="minorHAnsi" w:hAnsiTheme="minorHAnsi"/>
          <w:lang w:val="en-GB"/>
        </w:rPr>
      </w:pPr>
    </w:p>
    <w:p w:rsidR="00DF29E6" w:rsidRPr="00D52D13" w:rsidRDefault="00DF29E6" w:rsidP="00DF29E6">
      <w:pPr>
        <w:pStyle w:val="ListParagraph"/>
        <w:numPr>
          <w:ilvl w:val="1"/>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t>Undesirable effects</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The following list of adverse reactions includes all those known to be associated with ibuprofen therapy, including those in rheumatic patients on long-term, high-dose therapy. With the exception of very rare notifications, the frequency data concern the short-term administration of maximum daily doses of 1200 mg ibuprofen for oral presentations and 1800 mg for suppositories.</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The frequency of adverse reactions is described as follows:</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 Very common (≥1 / 10)</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 Frequent (≥1 / 100 to &lt;1/10)</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 Uncommon (≥1 / 1,000 to &lt;1/100)</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 Rare (≥1 / 10,000 to &lt;1/1000)</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 Very rare (&lt;1 / 10,000)</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 Not known (cannot be estimated from the available data)</w:t>
      </w: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If the following adverse drug reactions occur, their predominantly dose-dependent character and individual variability must be taken into account.</w:t>
      </w:r>
    </w:p>
    <w:p w:rsidR="00C3084B" w:rsidRPr="00B86B8B" w:rsidRDefault="00C3084B" w:rsidP="00D52D13">
      <w:pPr>
        <w:pStyle w:val="ListParagraph"/>
        <w:spacing w:line="360" w:lineRule="auto"/>
        <w:rPr>
          <w:rFonts w:asciiTheme="minorHAnsi" w:hAnsiTheme="minorHAnsi"/>
          <w:lang w:val="en-GB"/>
        </w:rPr>
      </w:pPr>
    </w:p>
    <w:p w:rsidR="00C3084B" w:rsidRPr="00B86B8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t>The most commonly observed adverse reactions are gastrointestinal in nature. They consist of gastroduodenal ulcers, perforations, G-I haemorrhage, sometimes fatal, especially in the elderly. Other symptoms such as nausea, vomiting, diarrhoea, flatulence, constipation, dyspepsia, abdominal pain, melena, hematemesis, ulcerative stomatitis and exacerbation of colitis or Crohn's disease have been reported after administration of the drug. Gastritis has been reported less frequently. This is particularly the risk of gastrointestinal haemorrhage that depends on the dose and duration of use.</w:t>
      </w:r>
    </w:p>
    <w:p w:rsidR="00C3084B" w:rsidRDefault="00C3084B" w:rsidP="00D52D13">
      <w:pPr>
        <w:pStyle w:val="ListParagraph"/>
        <w:spacing w:line="360" w:lineRule="auto"/>
        <w:rPr>
          <w:rFonts w:asciiTheme="minorHAnsi" w:hAnsiTheme="minorHAnsi"/>
          <w:lang w:val="en-GB"/>
        </w:rPr>
      </w:pPr>
      <w:r w:rsidRPr="00B86B8B">
        <w:rPr>
          <w:rFonts w:asciiTheme="minorHAnsi" w:hAnsiTheme="minorHAnsi"/>
          <w:lang w:val="en-GB"/>
        </w:rPr>
        <w:lastRenderedPageBreak/>
        <w:t>Oedema, hypertension and heart failure have also been reported in association with NSAID therapy.</w:t>
      </w:r>
    </w:p>
    <w:p w:rsidR="00C3084B" w:rsidRPr="00651863" w:rsidRDefault="00C3084B" w:rsidP="00D52D13">
      <w:pPr>
        <w:pStyle w:val="ListParagraph"/>
        <w:spacing w:line="360" w:lineRule="auto"/>
        <w:rPr>
          <w:rFonts w:asciiTheme="minorHAnsi" w:hAnsiTheme="minorHAnsi"/>
          <w:lang w:val="en-GB"/>
        </w:rPr>
      </w:pPr>
    </w:p>
    <w:p w:rsidR="00C3084B" w:rsidRPr="00715A24" w:rsidRDefault="00C3084B" w:rsidP="00D52D13">
      <w:pPr>
        <w:pStyle w:val="ListParagraph"/>
        <w:spacing w:line="360" w:lineRule="auto"/>
        <w:rPr>
          <w:rFonts w:asciiTheme="minorHAnsi" w:hAnsiTheme="minorHAnsi"/>
          <w:lang w:val="en-GB"/>
        </w:rPr>
      </w:pPr>
      <w:r w:rsidRPr="00715A24">
        <w:rPr>
          <w:rFonts w:asciiTheme="minorHAnsi" w:hAnsiTheme="minorHAnsi"/>
          <w:lang w:val="en-GB"/>
        </w:rPr>
        <w:t>Clinical studies suggest that use of ibuprofen, particularly at a high dose 2400mg/day) may be associated with a small increased risk of arterial thrombotic events (for example myocardial infarction or stroke).</w:t>
      </w:r>
    </w:p>
    <w:tbl>
      <w:tblPr>
        <w:tblW w:w="9206"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970"/>
        <w:gridCol w:w="1559"/>
        <w:gridCol w:w="4677"/>
      </w:tblGrid>
      <w:tr w:rsidR="00C3084B" w:rsidRPr="00D52D13" w:rsidTr="00D52D13">
        <w:trPr>
          <w:tblHeader/>
        </w:trPr>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b/>
                <w:i w:val="0"/>
                <w:lang w:eastAsia="en-GB"/>
              </w:rPr>
            </w:pPr>
            <w:r w:rsidRPr="00D52D13">
              <w:rPr>
                <w:rStyle w:val="Emphasis"/>
                <w:rFonts w:asciiTheme="minorHAnsi" w:hAnsiTheme="minorHAnsi"/>
                <w:b/>
                <w:i w:val="0"/>
                <w:lang w:eastAsia="en-GB"/>
              </w:rPr>
              <w:t>System Organ Class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b/>
                <w:i w:val="0"/>
                <w:lang w:eastAsia="en-GB"/>
              </w:rPr>
            </w:pPr>
            <w:r w:rsidRPr="00D52D13">
              <w:rPr>
                <w:rStyle w:val="Emphasis"/>
                <w:rFonts w:asciiTheme="minorHAnsi" w:hAnsiTheme="minorHAnsi"/>
                <w:b/>
                <w:i w:val="0"/>
                <w:lang w:eastAsia="en-GB"/>
              </w:rPr>
              <w:t>Frequency</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b/>
                <w:i w:val="0"/>
                <w:lang w:eastAsia="en-GB"/>
              </w:rPr>
            </w:pPr>
            <w:r w:rsidRPr="00D52D13">
              <w:rPr>
                <w:rStyle w:val="Emphasis"/>
                <w:rFonts w:asciiTheme="minorHAnsi" w:hAnsiTheme="minorHAnsi"/>
                <w:b/>
                <w:i w:val="0"/>
                <w:lang w:eastAsia="en-GB"/>
              </w:rPr>
              <w:t>Adverse Event</w:t>
            </w:r>
          </w:p>
        </w:tc>
      </w:tr>
      <w:tr w:rsidR="00C3084B" w:rsidRPr="00D52D13" w:rsidTr="00D52D1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Blood and Lymphatic System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proofErr w:type="spellStart"/>
            <w:r w:rsidRPr="00D52D13">
              <w:rPr>
                <w:rStyle w:val="Emphasis"/>
                <w:rFonts w:asciiTheme="minorHAnsi" w:hAnsiTheme="minorHAnsi"/>
                <w:i w:val="0"/>
                <w:lang w:eastAsia="en-GB"/>
              </w:rPr>
              <w:t>Haematopoietic</w:t>
            </w:r>
            <w:proofErr w:type="spellEnd"/>
            <w:r w:rsidRPr="00D52D13">
              <w:rPr>
                <w:rStyle w:val="Emphasis"/>
                <w:rFonts w:asciiTheme="minorHAnsi" w:hAnsiTheme="minorHAnsi"/>
                <w:i w:val="0"/>
                <w:lang w:eastAsia="en-GB"/>
              </w:rPr>
              <w:t xml:space="preserve"> disorders (</w:t>
            </w:r>
            <w:proofErr w:type="spellStart"/>
            <w:r w:rsidRPr="00D52D13">
              <w:rPr>
                <w:rStyle w:val="Emphasis"/>
                <w:rFonts w:asciiTheme="minorHAnsi" w:hAnsiTheme="minorHAnsi"/>
                <w:i w:val="0"/>
                <w:lang w:eastAsia="en-GB"/>
              </w:rPr>
              <w:t>anaemia</w:t>
            </w:r>
            <w:proofErr w:type="spellEnd"/>
            <w:r w:rsidRPr="00D52D13">
              <w:rPr>
                <w:rStyle w:val="Emphasis"/>
                <w:rFonts w:asciiTheme="minorHAnsi" w:hAnsiTheme="minorHAnsi"/>
                <w:i w:val="0"/>
                <w:lang w:eastAsia="en-GB"/>
              </w:rPr>
              <w:t>, leucopenia, thrombocytopenia, pancytopenia, agranulocytosis).</w:t>
            </w:r>
          </w:p>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First signs are: fever, sore throat, superficial mouth ulcers, flu-like symptoms, severe exhaustion, unexplained bleeding and bruising.</w:t>
            </w:r>
          </w:p>
        </w:tc>
      </w:tr>
      <w:tr w:rsidR="00D52D13" w:rsidRPr="00D52D13" w:rsidTr="00D52D13">
        <w:tc>
          <w:tcPr>
            <w:tcW w:w="1613" w:type="pct"/>
            <w:vMerge w:val="restart"/>
            <w:tcBorders>
              <w:top w:val="outset" w:sz="6" w:space="0" w:color="7B7B7B"/>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Immune System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Pr>
                <w:rStyle w:val="Emphasis"/>
                <w:rFonts w:asciiTheme="minorHAnsi" w:hAnsiTheme="minorHAnsi"/>
                <w:i w:val="0"/>
                <w:lang w:eastAsia="en-GB"/>
              </w:rPr>
              <w:t>Uncommon</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Hypersensitivity reactions consisting of </w:t>
            </w:r>
            <w:r w:rsidRPr="00D52D13">
              <w:rPr>
                <w:rStyle w:val="Emphasis"/>
                <w:rFonts w:asciiTheme="minorHAnsi" w:hAnsiTheme="minorHAnsi"/>
                <w:i w:val="0"/>
                <w:vertAlign w:val="superscript"/>
                <w:lang w:eastAsia="en-GB"/>
              </w:rPr>
              <w:t>(1)</w:t>
            </w:r>
            <w:r w:rsidRPr="00D52D13">
              <w:rPr>
                <w:rStyle w:val="Emphasis"/>
                <w:rFonts w:asciiTheme="minorHAnsi" w:hAnsiTheme="minorHAnsi"/>
                <w:i w:val="0"/>
                <w:lang w:eastAsia="en-GB"/>
              </w:rPr>
              <w:t>:</w:t>
            </w:r>
          </w:p>
        </w:tc>
      </w:tr>
      <w:tr w:rsidR="00D52D13" w:rsidRPr="00D52D13" w:rsidTr="00D52D13">
        <w:tc>
          <w:tcPr>
            <w:tcW w:w="1613" w:type="pct"/>
            <w:vMerge/>
            <w:tcBorders>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Uncommon</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Urticaria and pruritus</w:t>
            </w:r>
          </w:p>
        </w:tc>
      </w:tr>
      <w:tr w:rsidR="00D52D13" w:rsidRPr="00D52D13" w:rsidTr="00D52D13">
        <w:tc>
          <w:tcPr>
            <w:tcW w:w="1613" w:type="pct"/>
            <w:vMerge/>
            <w:tcBorders>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Very rare</w:t>
            </w:r>
          </w:p>
        </w:tc>
        <w:tc>
          <w:tcPr>
            <w:tcW w:w="2541"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Severe hypersensitivity reactions. Symptoms could be facial, tongue and laryngeal swelling, </w:t>
            </w:r>
            <w:proofErr w:type="spellStart"/>
            <w:r w:rsidRPr="00D52D13">
              <w:rPr>
                <w:rStyle w:val="Emphasis"/>
                <w:rFonts w:asciiTheme="minorHAnsi" w:hAnsiTheme="minorHAnsi"/>
                <w:i w:val="0"/>
                <w:lang w:eastAsia="en-GB"/>
              </w:rPr>
              <w:t>dyspnoea</w:t>
            </w:r>
            <w:proofErr w:type="spellEnd"/>
            <w:r w:rsidRPr="00D52D13">
              <w:rPr>
                <w:rStyle w:val="Emphasis"/>
                <w:rFonts w:asciiTheme="minorHAnsi" w:hAnsiTheme="minorHAnsi"/>
                <w:i w:val="0"/>
                <w:lang w:eastAsia="en-GB"/>
              </w:rPr>
              <w:t>, tachycardia, hypotension (anaphylaxis, angioedema or severe shock).</w:t>
            </w:r>
          </w:p>
        </w:tc>
      </w:tr>
      <w:tr w:rsidR="00D52D13" w:rsidRPr="00D52D13" w:rsidTr="00D52D13">
        <w:tc>
          <w:tcPr>
            <w:tcW w:w="1613" w:type="pct"/>
            <w:vMerge/>
            <w:tcBorders>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Not Known</w:t>
            </w:r>
          </w:p>
        </w:tc>
        <w:tc>
          <w:tcPr>
            <w:tcW w:w="2541"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Respiratory tract reactivity comprising asthma, aggravated asthma, bronchospasm or </w:t>
            </w:r>
            <w:proofErr w:type="spellStart"/>
            <w:r w:rsidRPr="00D52D13">
              <w:rPr>
                <w:rStyle w:val="Emphasis"/>
                <w:rFonts w:asciiTheme="minorHAnsi" w:hAnsiTheme="minorHAnsi"/>
                <w:i w:val="0"/>
                <w:lang w:eastAsia="en-GB"/>
              </w:rPr>
              <w:t>dyspnoea</w:t>
            </w:r>
            <w:proofErr w:type="spellEnd"/>
            <w:r w:rsidRPr="00D52D13">
              <w:rPr>
                <w:rStyle w:val="Emphasis"/>
                <w:rFonts w:asciiTheme="minorHAnsi" w:hAnsiTheme="minorHAnsi"/>
                <w:i w:val="0"/>
                <w:lang w:eastAsia="en-GB"/>
              </w:rPr>
              <w:t>.</w:t>
            </w:r>
          </w:p>
        </w:tc>
      </w:tr>
      <w:tr w:rsidR="00D52D13" w:rsidRPr="00D52D13" w:rsidTr="00F65780">
        <w:tc>
          <w:tcPr>
            <w:tcW w:w="1613" w:type="pct"/>
            <w:vMerge w:val="restart"/>
            <w:tcBorders>
              <w:top w:val="outset" w:sz="6" w:space="0" w:color="7B7B7B"/>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Nervous System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Uncommon</w:t>
            </w:r>
          </w:p>
        </w:tc>
        <w:tc>
          <w:tcPr>
            <w:tcW w:w="2541"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Headache</w:t>
            </w:r>
          </w:p>
        </w:tc>
      </w:tr>
      <w:tr w:rsidR="00D52D13" w:rsidRPr="00D52D13" w:rsidTr="00D52D13">
        <w:tc>
          <w:tcPr>
            <w:tcW w:w="1613" w:type="pct"/>
            <w:vMerge/>
            <w:tcBorders>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Aseptic meningitis </w:t>
            </w:r>
            <w:r w:rsidRPr="00D52D13">
              <w:rPr>
                <w:rFonts w:asciiTheme="minorHAnsi" w:hAnsiTheme="minorHAnsi"/>
                <w:vertAlign w:val="superscript"/>
                <w:lang w:val="en-GB"/>
              </w:rPr>
              <w:t>(2)</w:t>
            </w:r>
          </w:p>
        </w:tc>
      </w:tr>
      <w:tr w:rsidR="00C3084B" w:rsidRPr="00D52D13" w:rsidTr="00D52D1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Cardiac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Cardiac failure and </w:t>
            </w:r>
            <w:proofErr w:type="spellStart"/>
            <w:r w:rsidRPr="00D52D13">
              <w:rPr>
                <w:rStyle w:val="Emphasis"/>
                <w:rFonts w:asciiTheme="minorHAnsi" w:hAnsiTheme="minorHAnsi"/>
                <w:i w:val="0"/>
                <w:lang w:eastAsia="en-GB"/>
              </w:rPr>
              <w:t>oedema</w:t>
            </w:r>
            <w:proofErr w:type="spellEnd"/>
          </w:p>
        </w:tc>
      </w:tr>
      <w:tr w:rsidR="00C3084B" w:rsidRPr="00D52D13" w:rsidTr="00D52D1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Vascular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Hypertension</w:t>
            </w:r>
          </w:p>
        </w:tc>
      </w:tr>
      <w:tr w:rsidR="00D52D13" w:rsidRPr="00D52D13" w:rsidTr="001C5E70">
        <w:tc>
          <w:tcPr>
            <w:tcW w:w="1613" w:type="pct"/>
            <w:vMerge w:val="restart"/>
            <w:tcBorders>
              <w:top w:val="outset" w:sz="6" w:space="0" w:color="7B7B7B"/>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Gastrointestinal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Uncommon</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Abdominal pain, nausea, dyspepsia</w:t>
            </w:r>
          </w:p>
        </w:tc>
      </w:tr>
      <w:tr w:rsidR="00D52D13" w:rsidRPr="00D52D13" w:rsidTr="001C5E70">
        <w:tc>
          <w:tcPr>
            <w:tcW w:w="1613" w:type="pct"/>
            <w:vMerge/>
            <w:tcBorders>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proofErr w:type="spellStart"/>
            <w:r w:rsidRPr="00D52D13">
              <w:rPr>
                <w:rStyle w:val="Emphasis"/>
                <w:rFonts w:asciiTheme="minorHAnsi" w:hAnsiTheme="minorHAnsi"/>
                <w:i w:val="0"/>
                <w:lang w:eastAsia="en-GB"/>
              </w:rPr>
              <w:t>Diarrhoea</w:t>
            </w:r>
            <w:proofErr w:type="spellEnd"/>
            <w:r w:rsidRPr="00D52D13">
              <w:rPr>
                <w:rStyle w:val="Emphasis"/>
                <w:rFonts w:asciiTheme="minorHAnsi" w:hAnsiTheme="minorHAnsi"/>
                <w:i w:val="0"/>
                <w:lang w:eastAsia="en-GB"/>
              </w:rPr>
              <w:t>, flatulence, constipation and vomiting</w:t>
            </w:r>
          </w:p>
        </w:tc>
      </w:tr>
      <w:tr w:rsidR="00D52D13" w:rsidRPr="00D52D13" w:rsidTr="001C5E70">
        <w:tc>
          <w:tcPr>
            <w:tcW w:w="1613" w:type="pct"/>
            <w:vMerge/>
            <w:tcBorders>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Peptic ulcer, perforation or gastrointestinal </w:t>
            </w:r>
            <w:proofErr w:type="spellStart"/>
            <w:r w:rsidRPr="00D52D13">
              <w:rPr>
                <w:rStyle w:val="Emphasis"/>
                <w:rFonts w:asciiTheme="minorHAnsi" w:hAnsiTheme="minorHAnsi"/>
                <w:i w:val="0"/>
                <w:lang w:eastAsia="en-GB"/>
              </w:rPr>
              <w:t>haemorrhage</w:t>
            </w:r>
            <w:proofErr w:type="spellEnd"/>
            <w:r w:rsidRPr="00D52D13">
              <w:rPr>
                <w:rStyle w:val="Emphasis"/>
                <w:rFonts w:asciiTheme="minorHAnsi" w:hAnsiTheme="minorHAnsi"/>
                <w:i w:val="0"/>
                <w:lang w:eastAsia="en-GB"/>
              </w:rPr>
              <w:t xml:space="preserve">, </w:t>
            </w:r>
            <w:proofErr w:type="spellStart"/>
            <w:r w:rsidRPr="00D52D13">
              <w:rPr>
                <w:rStyle w:val="Emphasis"/>
                <w:rFonts w:asciiTheme="minorHAnsi" w:hAnsiTheme="minorHAnsi"/>
                <w:i w:val="0"/>
                <w:lang w:eastAsia="en-GB"/>
              </w:rPr>
              <w:t>melaena</w:t>
            </w:r>
            <w:proofErr w:type="spellEnd"/>
            <w:r w:rsidRPr="00D52D13">
              <w:rPr>
                <w:rStyle w:val="Emphasis"/>
                <w:rFonts w:asciiTheme="minorHAnsi" w:hAnsiTheme="minorHAnsi"/>
                <w:i w:val="0"/>
                <w:lang w:eastAsia="en-GB"/>
              </w:rPr>
              <w:t xml:space="preserve">, </w:t>
            </w:r>
            <w:proofErr w:type="spellStart"/>
            <w:r w:rsidRPr="00D52D13">
              <w:rPr>
                <w:rStyle w:val="Emphasis"/>
                <w:rFonts w:asciiTheme="minorHAnsi" w:hAnsiTheme="minorHAnsi"/>
                <w:i w:val="0"/>
                <w:lang w:eastAsia="en-GB"/>
              </w:rPr>
              <w:t>haematemesis</w:t>
            </w:r>
            <w:proofErr w:type="spellEnd"/>
            <w:r w:rsidRPr="00D52D13">
              <w:rPr>
                <w:rStyle w:val="Emphasis"/>
                <w:rFonts w:asciiTheme="minorHAnsi" w:hAnsiTheme="minorHAnsi"/>
                <w:i w:val="0"/>
                <w:lang w:eastAsia="en-GB"/>
              </w:rPr>
              <w:t>, sometimes fatal, particularly in the elderly. Ulcerative stomatitis, gastritis</w:t>
            </w:r>
          </w:p>
        </w:tc>
      </w:tr>
      <w:tr w:rsidR="00D52D13" w:rsidRPr="00D52D13" w:rsidTr="001C5E70">
        <w:tc>
          <w:tcPr>
            <w:tcW w:w="1613" w:type="pct"/>
            <w:vMerge/>
            <w:tcBorders>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Exacerbation of colitis and Crohn's disease.</w:t>
            </w:r>
          </w:p>
        </w:tc>
      </w:tr>
      <w:tr w:rsidR="00C3084B" w:rsidRPr="00D52D13" w:rsidTr="00D52D1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Hepatobiliary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Liver disorders</w:t>
            </w:r>
          </w:p>
        </w:tc>
      </w:tr>
      <w:tr w:rsidR="00D52D13" w:rsidRPr="00D52D13" w:rsidTr="00F9395D">
        <w:tc>
          <w:tcPr>
            <w:tcW w:w="1613" w:type="pct"/>
            <w:vMerge w:val="restart"/>
            <w:tcBorders>
              <w:top w:val="outset" w:sz="6" w:space="0" w:color="7B7B7B"/>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Skin and Subcutaneous Tissue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Uncommon</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Various skin rashes</w:t>
            </w:r>
          </w:p>
        </w:tc>
      </w:tr>
      <w:tr w:rsidR="00D52D13" w:rsidRPr="00D52D13" w:rsidTr="00F9395D">
        <w:tc>
          <w:tcPr>
            <w:tcW w:w="1613" w:type="pct"/>
            <w:vMerge/>
            <w:tcBorders>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Severe forms of skin reactions such as bullous reactions including Stevens-Johnson syndrome, erythema </w:t>
            </w:r>
            <w:proofErr w:type="spellStart"/>
            <w:r w:rsidRPr="00D52D13">
              <w:rPr>
                <w:rStyle w:val="Emphasis"/>
                <w:rFonts w:asciiTheme="minorHAnsi" w:hAnsiTheme="minorHAnsi"/>
                <w:i w:val="0"/>
                <w:lang w:eastAsia="en-GB"/>
              </w:rPr>
              <w:t>multiforme</w:t>
            </w:r>
            <w:proofErr w:type="spellEnd"/>
            <w:r w:rsidRPr="00D52D13">
              <w:rPr>
                <w:rStyle w:val="Emphasis"/>
                <w:rFonts w:asciiTheme="minorHAnsi" w:hAnsiTheme="minorHAnsi"/>
                <w:i w:val="0"/>
                <w:lang w:eastAsia="en-GB"/>
              </w:rPr>
              <w:t xml:space="preserve"> and toxic epidermal necrolysis can occur.</w:t>
            </w:r>
          </w:p>
        </w:tc>
      </w:tr>
      <w:tr w:rsidR="00D52D13" w:rsidRPr="00D52D13" w:rsidTr="00F9395D">
        <w:tc>
          <w:tcPr>
            <w:tcW w:w="1613" w:type="pct"/>
            <w:vMerge/>
            <w:tcBorders>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Drug reaction with eosinophilia and systemic symptoms (DRESS syndrome)</w:t>
            </w:r>
          </w:p>
        </w:tc>
      </w:tr>
      <w:tr w:rsidR="00D52D13" w:rsidRPr="00D52D13" w:rsidTr="009204E7">
        <w:tc>
          <w:tcPr>
            <w:tcW w:w="1613" w:type="pct"/>
            <w:vMerge w:val="restart"/>
            <w:tcBorders>
              <w:top w:val="outset" w:sz="6" w:space="0" w:color="7B7B7B"/>
              <w:left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Renal and Urinary Disorders</w:t>
            </w:r>
          </w:p>
        </w:tc>
        <w:tc>
          <w:tcPr>
            <w:tcW w:w="847"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Acute renal failure, papillary necrosis, especially in long-term use, associated with increased serum urea and </w:t>
            </w:r>
            <w:proofErr w:type="spellStart"/>
            <w:r w:rsidRPr="00D52D13">
              <w:rPr>
                <w:rStyle w:val="Emphasis"/>
                <w:rFonts w:asciiTheme="minorHAnsi" w:hAnsiTheme="minorHAnsi"/>
                <w:i w:val="0"/>
                <w:lang w:eastAsia="en-GB"/>
              </w:rPr>
              <w:t>oedema</w:t>
            </w:r>
            <w:proofErr w:type="spellEnd"/>
            <w:r w:rsidRPr="00D52D13">
              <w:rPr>
                <w:rStyle w:val="Emphasis"/>
                <w:rFonts w:asciiTheme="minorHAnsi" w:hAnsiTheme="minorHAnsi"/>
                <w:i w:val="0"/>
                <w:lang w:eastAsia="en-GB"/>
              </w:rPr>
              <w:t>.</w:t>
            </w:r>
          </w:p>
        </w:tc>
      </w:tr>
      <w:tr w:rsidR="00D52D13" w:rsidRPr="00D52D13" w:rsidTr="009204E7">
        <w:tc>
          <w:tcPr>
            <w:tcW w:w="1613" w:type="pct"/>
            <w:vMerge/>
            <w:tcBorders>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Not Known</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D52D13" w:rsidRPr="00D52D13" w:rsidRDefault="00D52D13"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Renal insufficiency</w:t>
            </w:r>
          </w:p>
        </w:tc>
      </w:tr>
      <w:tr w:rsidR="00C3084B" w:rsidRPr="00D52D13" w:rsidTr="00D52D13">
        <w:tc>
          <w:tcPr>
            <w:tcW w:w="1613"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Investigations</w:t>
            </w:r>
          </w:p>
        </w:tc>
        <w:tc>
          <w:tcPr>
            <w:tcW w:w="847"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Very rare</w:t>
            </w:r>
          </w:p>
        </w:tc>
        <w:tc>
          <w:tcPr>
            <w:tcW w:w="2540" w:type="pct"/>
            <w:tcBorders>
              <w:top w:val="outset" w:sz="6" w:space="0" w:color="7B7B7B"/>
              <w:left w:val="outset" w:sz="6" w:space="0" w:color="7B7B7B"/>
              <w:bottom w:val="outset" w:sz="6" w:space="0" w:color="7B7B7B"/>
              <w:right w:val="outset" w:sz="6" w:space="0" w:color="7B7B7B"/>
            </w:tcBorders>
            <w:shd w:val="clear" w:color="auto" w:fill="auto"/>
            <w:hideMark/>
          </w:tcPr>
          <w:p w:rsidR="00C3084B" w:rsidRPr="00D52D13" w:rsidRDefault="00C3084B" w:rsidP="005B6EB5">
            <w:pPr>
              <w:spacing w:after="0" w:line="360" w:lineRule="auto"/>
              <w:rPr>
                <w:rStyle w:val="Emphasis"/>
                <w:rFonts w:asciiTheme="minorHAnsi" w:hAnsiTheme="minorHAnsi"/>
                <w:i w:val="0"/>
                <w:lang w:eastAsia="en-GB"/>
              </w:rPr>
            </w:pPr>
            <w:r w:rsidRPr="00D52D13">
              <w:rPr>
                <w:rStyle w:val="Emphasis"/>
                <w:rFonts w:asciiTheme="minorHAnsi" w:hAnsiTheme="minorHAnsi"/>
                <w:i w:val="0"/>
                <w:lang w:eastAsia="en-GB"/>
              </w:rPr>
              <w:t xml:space="preserve">Decreased </w:t>
            </w:r>
            <w:proofErr w:type="spellStart"/>
            <w:r w:rsidRPr="00D52D13">
              <w:rPr>
                <w:rStyle w:val="Emphasis"/>
                <w:rFonts w:asciiTheme="minorHAnsi" w:hAnsiTheme="minorHAnsi"/>
                <w:i w:val="0"/>
                <w:lang w:eastAsia="en-GB"/>
              </w:rPr>
              <w:t>haemoglobin</w:t>
            </w:r>
            <w:proofErr w:type="spellEnd"/>
            <w:r w:rsidRPr="00D52D13">
              <w:rPr>
                <w:rStyle w:val="Emphasis"/>
                <w:rFonts w:asciiTheme="minorHAnsi" w:hAnsiTheme="minorHAnsi"/>
                <w:i w:val="0"/>
                <w:lang w:eastAsia="en-GB"/>
              </w:rPr>
              <w:t xml:space="preserve"> levels</w:t>
            </w:r>
          </w:p>
        </w:tc>
      </w:tr>
    </w:tbl>
    <w:p w:rsidR="00C3084B" w:rsidRPr="00D52D13" w:rsidRDefault="00C3084B" w:rsidP="00C3084B">
      <w:pPr>
        <w:shd w:val="clear" w:color="auto" w:fill="FFFFFF"/>
        <w:spacing w:after="143" w:line="240" w:lineRule="auto"/>
        <w:rPr>
          <w:rFonts w:asciiTheme="minorHAnsi" w:eastAsia="Times New Roman" w:hAnsiTheme="minorHAnsi" w:cs="Arial"/>
          <w:color w:val="000000"/>
          <w:lang w:eastAsia="en-GB"/>
        </w:rPr>
      </w:pPr>
    </w:p>
    <w:p w:rsidR="00C3084B" w:rsidRPr="00715A24" w:rsidRDefault="00C3084B" w:rsidP="00C3084B">
      <w:pPr>
        <w:pStyle w:val="ListParagraph"/>
        <w:spacing w:line="360" w:lineRule="auto"/>
        <w:ind w:left="426"/>
        <w:rPr>
          <w:rFonts w:asciiTheme="minorHAnsi" w:hAnsiTheme="minorHAnsi"/>
          <w:b/>
          <w:sz w:val="20"/>
          <w:szCs w:val="20"/>
          <w:lang w:val="en-GB"/>
        </w:rPr>
      </w:pPr>
      <w:r w:rsidRPr="00715A24">
        <w:rPr>
          <w:rFonts w:asciiTheme="minorHAnsi" w:hAnsiTheme="minorHAnsi"/>
          <w:b/>
          <w:sz w:val="20"/>
          <w:szCs w:val="20"/>
          <w:lang w:val="en-GB"/>
        </w:rPr>
        <w:t>Description of Selected Adverse Reactions</w:t>
      </w:r>
    </w:p>
    <w:p w:rsidR="00C3084B" w:rsidRPr="00651863" w:rsidRDefault="00C3084B" w:rsidP="00C3084B">
      <w:pPr>
        <w:pStyle w:val="ListParagraph"/>
        <w:spacing w:line="360" w:lineRule="auto"/>
        <w:ind w:left="426"/>
        <w:rPr>
          <w:rFonts w:asciiTheme="minorHAnsi" w:hAnsiTheme="minorHAnsi"/>
          <w:sz w:val="20"/>
          <w:szCs w:val="20"/>
          <w:lang w:val="en-GB"/>
        </w:rPr>
      </w:pPr>
      <w:r w:rsidRPr="00651863">
        <w:rPr>
          <w:rFonts w:asciiTheme="minorHAnsi" w:hAnsiTheme="minorHAnsi"/>
          <w:sz w:val="20"/>
          <w:szCs w:val="20"/>
          <w:vertAlign w:val="superscript"/>
          <w:lang w:val="en-GB"/>
        </w:rPr>
        <w:t>(1)</w:t>
      </w:r>
      <w:r w:rsidRPr="00651863">
        <w:rPr>
          <w:rFonts w:asciiTheme="minorHAnsi" w:hAnsiTheme="minorHAnsi"/>
          <w:sz w:val="20"/>
          <w:szCs w:val="20"/>
          <w:lang w:val="en-GB"/>
        </w:rPr>
        <w:t xml:space="preserve"> </w:t>
      </w:r>
      <w:r w:rsidRPr="00715A24">
        <w:rPr>
          <w:rFonts w:asciiTheme="minorHAnsi" w:hAnsiTheme="minorHAnsi"/>
          <w:sz w:val="20"/>
          <w:szCs w:val="20"/>
          <w:lang w:val="en-GB"/>
        </w:rPr>
        <w:t xml:space="preserve">Hypersensitivity reactions have been reported following treatment with ibuprofen. These may consist of (a) non-specific allergic reactions and anaphylaxis, (b) respiratory tract activity comprising asthma, aggravated asthma, bronchospasm, dyspnoea or (c) assorted skin disorders, including rashes of various types pruritus, urticaria, purpura, angioedema and more rarely exfoliative and bullous dermatoses (including epidermal necrolysis and erythema </w:t>
      </w:r>
      <w:proofErr w:type="spellStart"/>
      <w:r w:rsidRPr="00715A24">
        <w:rPr>
          <w:rFonts w:asciiTheme="minorHAnsi" w:hAnsiTheme="minorHAnsi"/>
          <w:sz w:val="20"/>
          <w:szCs w:val="20"/>
          <w:lang w:val="en-GB"/>
        </w:rPr>
        <w:t>multiforme</w:t>
      </w:r>
      <w:proofErr w:type="spellEnd"/>
      <w:r w:rsidRPr="00715A24">
        <w:rPr>
          <w:rFonts w:asciiTheme="minorHAnsi" w:hAnsiTheme="minorHAnsi"/>
          <w:sz w:val="20"/>
          <w:szCs w:val="20"/>
          <w:lang w:val="en-GB"/>
        </w:rPr>
        <w:t>).</w:t>
      </w:r>
    </w:p>
    <w:p w:rsidR="00C3084B" w:rsidRPr="00715A24" w:rsidRDefault="00C3084B" w:rsidP="00C3084B">
      <w:pPr>
        <w:pStyle w:val="ListParagraph"/>
        <w:spacing w:line="360" w:lineRule="auto"/>
        <w:ind w:left="426"/>
        <w:rPr>
          <w:rFonts w:asciiTheme="minorHAnsi" w:hAnsiTheme="minorHAnsi"/>
          <w:sz w:val="20"/>
          <w:szCs w:val="20"/>
          <w:lang w:val="en-GB"/>
        </w:rPr>
      </w:pPr>
      <w:r w:rsidRPr="00651863">
        <w:rPr>
          <w:rFonts w:asciiTheme="minorHAnsi" w:hAnsiTheme="minorHAnsi"/>
          <w:sz w:val="20"/>
          <w:szCs w:val="20"/>
          <w:vertAlign w:val="superscript"/>
          <w:lang w:val="en-GB"/>
        </w:rPr>
        <w:t xml:space="preserve">(2) </w:t>
      </w:r>
      <w:r w:rsidRPr="00715A24">
        <w:rPr>
          <w:rFonts w:asciiTheme="minorHAnsi" w:hAnsiTheme="minorHAnsi"/>
          <w:sz w:val="20"/>
          <w:szCs w:val="20"/>
          <w:lang w:val="en-GB"/>
        </w:rPr>
        <w:t xml:space="preserve">The pathogenic mechanism of </w:t>
      </w:r>
      <w:proofErr w:type="gramStart"/>
      <w:r w:rsidRPr="00715A24">
        <w:rPr>
          <w:rFonts w:asciiTheme="minorHAnsi" w:hAnsiTheme="minorHAnsi"/>
          <w:sz w:val="20"/>
          <w:szCs w:val="20"/>
          <w:lang w:val="en-GB"/>
        </w:rPr>
        <w:t>drug</w:t>
      </w:r>
      <w:proofErr w:type="gramEnd"/>
      <w:r w:rsidRPr="00715A24">
        <w:rPr>
          <w:rFonts w:asciiTheme="minorHAnsi" w:hAnsiTheme="minorHAnsi"/>
          <w:sz w:val="20"/>
          <w:szCs w:val="20"/>
          <w:lang w:val="en-GB"/>
        </w:rPr>
        <w:t>-Induced aseptic meningitis is not fully understood. However, the available data on NSAID-related aseptic meningitis points to a hypersensitivity reaction (due to a temporal relationship with drug intake, and disappearance of symptoms after drug discontinuation). Of note, single cases of symptoms of aseptic meningitis (such as stiff neck, headache, nausea, vomiting, fever or disorientation) have been observed during treatment with ibuprofen, in patients with existing auto-immune disorders (such as systemic lupus erythematosus, mixed connective tissue disease).</w:t>
      </w:r>
    </w:p>
    <w:p w:rsidR="00C3084B" w:rsidRPr="00D52D13" w:rsidRDefault="00C3084B" w:rsidP="00C3084B">
      <w:pPr>
        <w:pStyle w:val="ListParagraph"/>
        <w:numPr>
          <w:ilvl w:val="1"/>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lastRenderedPageBreak/>
        <w:t>Overdose</w:t>
      </w:r>
    </w:p>
    <w:p w:rsidR="00DF29E6" w:rsidRPr="00B86B8B" w:rsidRDefault="00DF29E6" w:rsidP="00D52D13">
      <w:pPr>
        <w:pStyle w:val="ListParagraph"/>
        <w:spacing w:line="360" w:lineRule="auto"/>
        <w:rPr>
          <w:rFonts w:asciiTheme="minorHAnsi" w:hAnsiTheme="minorHAnsi"/>
          <w:lang w:val="en-GB"/>
        </w:rPr>
      </w:pPr>
      <w:r w:rsidRPr="00B86B8B">
        <w:rPr>
          <w:rFonts w:asciiTheme="minorHAnsi" w:hAnsiTheme="minorHAnsi"/>
          <w:lang w:val="en-GB"/>
        </w:rPr>
        <w:t>Symptoms of overdose may include central nervous system effects such as headache, dizziness, drowsiness and loss of consciousness (as well as myoclonic seizures in children), but also abdominal pain, nausea, and vomiting. In addition, hypotension, respiratory depression and cyanosis may develop. There is no specific antidote. The treatment is symptomatic.</w:t>
      </w:r>
    </w:p>
    <w:p w:rsidR="00DF29E6" w:rsidRPr="00B86B8B" w:rsidRDefault="00DF29E6" w:rsidP="00DF29E6">
      <w:pPr>
        <w:pStyle w:val="ListParagraph"/>
        <w:spacing w:line="360" w:lineRule="auto"/>
        <w:ind w:left="0"/>
        <w:rPr>
          <w:rFonts w:asciiTheme="minorHAnsi" w:hAnsiTheme="minorHAnsi"/>
          <w:lang w:val="en-GB"/>
        </w:rPr>
      </w:pPr>
    </w:p>
    <w:p w:rsidR="00AE30FE" w:rsidRPr="00D52D13" w:rsidRDefault="00AE30FE" w:rsidP="009576E3">
      <w:pPr>
        <w:pStyle w:val="ListParagraph"/>
        <w:numPr>
          <w:ilvl w:val="0"/>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t>PHARMACOLOGICAL PROPERTIES</w:t>
      </w:r>
    </w:p>
    <w:p w:rsidR="004378F7" w:rsidRPr="009576E3" w:rsidRDefault="004378F7" w:rsidP="004378F7">
      <w:pPr>
        <w:pStyle w:val="ListParagraph"/>
        <w:spacing w:line="360" w:lineRule="auto"/>
        <w:ind w:left="0"/>
        <w:rPr>
          <w:rFonts w:asciiTheme="minorHAnsi" w:hAnsiTheme="minorHAnsi"/>
          <w:b/>
          <w:lang w:val="en-GB"/>
        </w:rPr>
      </w:pPr>
    </w:p>
    <w:p w:rsidR="00AE30FE" w:rsidRPr="00D52D13" w:rsidRDefault="00AE30FE" w:rsidP="009576E3">
      <w:pPr>
        <w:pStyle w:val="ListParagraph"/>
        <w:numPr>
          <w:ilvl w:val="1"/>
          <w:numId w:val="12"/>
        </w:numPr>
        <w:spacing w:line="360" w:lineRule="auto"/>
        <w:ind w:left="0" w:firstLine="0"/>
        <w:rPr>
          <w:rFonts w:asciiTheme="minorHAnsi" w:hAnsiTheme="minorHAnsi"/>
          <w:b/>
          <w:sz w:val="26"/>
          <w:szCs w:val="26"/>
          <w:lang w:val="en-GB"/>
        </w:rPr>
      </w:pPr>
      <w:proofErr w:type="spellStart"/>
      <w:r w:rsidRPr="00D52D13">
        <w:rPr>
          <w:rFonts w:asciiTheme="minorHAnsi" w:hAnsiTheme="minorHAnsi"/>
          <w:b/>
          <w:sz w:val="26"/>
          <w:szCs w:val="26"/>
          <w:lang w:val="en-GB"/>
        </w:rPr>
        <w:t>Pharmacodynamic</w:t>
      </w:r>
      <w:proofErr w:type="spellEnd"/>
      <w:r w:rsidRPr="00D52D13">
        <w:rPr>
          <w:rFonts w:asciiTheme="minorHAnsi" w:hAnsiTheme="minorHAnsi"/>
          <w:b/>
          <w:sz w:val="26"/>
          <w:szCs w:val="26"/>
          <w:lang w:val="en-GB"/>
        </w:rPr>
        <w:t xml:space="preserve"> properties</w:t>
      </w:r>
    </w:p>
    <w:p w:rsidR="004378F7" w:rsidRDefault="004378F7" w:rsidP="009576E3">
      <w:pPr>
        <w:pStyle w:val="ListParagraph"/>
        <w:spacing w:line="360" w:lineRule="auto"/>
        <w:ind w:left="0"/>
        <w:rPr>
          <w:rFonts w:asciiTheme="minorHAnsi" w:hAnsiTheme="minorHAnsi"/>
          <w:lang w:val="en-GB"/>
        </w:rPr>
      </w:pPr>
    </w:p>
    <w:p w:rsidR="004378F7" w:rsidRDefault="00786242" w:rsidP="00D52D13">
      <w:pPr>
        <w:pStyle w:val="ListParagraph"/>
        <w:spacing w:line="360" w:lineRule="auto"/>
        <w:rPr>
          <w:rFonts w:asciiTheme="minorHAnsi" w:hAnsiTheme="minorHAnsi"/>
          <w:lang w:val="en-GB"/>
        </w:rPr>
      </w:pPr>
      <w:proofErr w:type="spellStart"/>
      <w:r w:rsidRPr="009576E3">
        <w:rPr>
          <w:rFonts w:asciiTheme="minorHAnsi" w:hAnsiTheme="minorHAnsi"/>
          <w:lang w:val="en-GB"/>
        </w:rPr>
        <w:t>Pharmacotherapeutic</w:t>
      </w:r>
      <w:proofErr w:type="spellEnd"/>
      <w:r w:rsidRPr="009576E3">
        <w:rPr>
          <w:rFonts w:asciiTheme="minorHAnsi" w:hAnsiTheme="minorHAnsi"/>
          <w:lang w:val="en-GB"/>
        </w:rPr>
        <w:t xml:space="preserve"> group: anti-inflammatory and </w:t>
      </w:r>
      <w:proofErr w:type="spellStart"/>
      <w:r w:rsidRPr="009576E3">
        <w:rPr>
          <w:rFonts w:asciiTheme="minorHAnsi" w:hAnsiTheme="minorHAnsi"/>
          <w:lang w:val="en-GB"/>
        </w:rPr>
        <w:t>antirheumatic</w:t>
      </w:r>
      <w:proofErr w:type="spellEnd"/>
      <w:r w:rsidRPr="009576E3">
        <w:rPr>
          <w:rFonts w:asciiTheme="minorHAnsi" w:hAnsiTheme="minorHAnsi"/>
          <w:lang w:val="en-GB"/>
        </w:rPr>
        <w:t xml:space="preserve"> products, nonsteroidal, derived from propionic acid.</w:t>
      </w:r>
    </w:p>
    <w:p w:rsidR="002B3DDF" w:rsidRPr="009576E3" w:rsidRDefault="004378F7" w:rsidP="00D52D13">
      <w:pPr>
        <w:pStyle w:val="ListParagraph"/>
        <w:spacing w:line="360" w:lineRule="auto"/>
        <w:rPr>
          <w:rFonts w:asciiTheme="minorHAnsi" w:hAnsiTheme="minorHAnsi"/>
          <w:lang w:val="en-GB"/>
        </w:rPr>
      </w:pPr>
      <w:r w:rsidRPr="004378F7">
        <w:rPr>
          <w:rFonts w:asciiTheme="minorHAnsi" w:hAnsiTheme="minorHAnsi"/>
          <w:lang w:val="en-GB"/>
        </w:rPr>
        <w:t xml:space="preserve">ATC code: </w:t>
      </w:r>
      <w:sdt>
        <w:sdtPr>
          <w:rPr>
            <w:rFonts w:asciiTheme="minorHAnsi" w:hAnsiTheme="minorHAnsi"/>
            <w:lang w:val="en-GB"/>
          </w:rPr>
          <w:id w:val="184335172"/>
          <w:placeholder>
            <w:docPart w:val="6FFC9C7098A14DC9AF18C45F1D2A8D23"/>
          </w:placeholder>
        </w:sdtPr>
        <w:sdtEndPr/>
        <w:sdtContent>
          <w:r w:rsidRPr="004378F7">
            <w:rPr>
              <w:rFonts w:asciiTheme="minorHAnsi" w:hAnsiTheme="minorHAnsi"/>
              <w:lang w:val="en-GB"/>
            </w:rPr>
            <w:t>M01AE01</w:t>
          </w:r>
        </w:sdtContent>
      </w:sdt>
    </w:p>
    <w:p w:rsidR="004378F7" w:rsidRDefault="004378F7" w:rsidP="00D52D13">
      <w:pPr>
        <w:pStyle w:val="ListParagraph"/>
        <w:spacing w:line="360" w:lineRule="auto"/>
        <w:rPr>
          <w:rFonts w:asciiTheme="minorHAnsi" w:hAnsiTheme="minorHAnsi"/>
          <w:lang w:val="en-GB"/>
        </w:rPr>
      </w:pPr>
    </w:p>
    <w:p w:rsidR="00786242" w:rsidRPr="009576E3" w:rsidRDefault="00786242" w:rsidP="00D52D13">
      <w:pPr>
        <w:pStyle w:val="ListParagraph"/>
        <w:spacing w:line="360" w:lineRule="auto"/>
        <w:rPr>
          <w:rFonts w:asciiTheme="minorHAnsi" w:hAnsiTheme="minorHAnsi"/>
          <w:lang w:val="en-GB"/>
        </w:rPr>
      </w:pPr>
      <w:r w:rsidRPr="009576E3">
        <w:rPr>
          <w:rFonts w:asciiTheme="minorHAnsi" w:hAnsiTheme="minorHAnsi"/>
          <w:lang w:val="en-GB"/>
        </w:rPr>
        <w:t xml:space="preserve">Ibuprofen is a nonsteroidal anti-inflammatory drug that works by inhibiting prostaglandin synthesis, as has been proven in conventional inflammation models in laboratory animals. In humans, ibuprofen reduces pain, swelling and fever caused by inflammation. Ibuprofen also inhibits platelet aggregation induced by ADP or collagen. The experimental data suggest that ibuprofen competitively inhibits the effect of low doses of acetylsalicylic acid on platelet aggregation when administered concomitantly. Pharmacodynamical studies show that when single doses of ibuprofen 400 mg have been taken within 8 hours or within 30 minutes of immediate-release acetylsalicylic acid (81 mg), a decrease in acetylsalicylic acid on thromboxane formation or platelet aggregation occurs. Although there are uncertainties in extrapolating these data to clinical situations, the possibility that regular, long-term use of ibuprofen may reduce the cardio-protective effect of low-dose acetylsalicylic </w:t>
      </w:r>
      <w:r w:rsidR="00B94E55" w:rsidRPr="009576E3">
        <w:rPr>
          <w:rFonts w:asciiTheme="minorHAnsi" w:hAnsiTheme="minorHAnsi"/>
          <w:lang w:val="en-GB"/>
        </w:rPr>
        <w:t>cannot</w:t>
      </w:r>
      <w:r w:rsidR="00507012" w:rsidRPr="009576E3">
        <w:rPr>
          <w:rFonts w:asciiTheme="minorHAnsi" w:hAnsiTheme="minorHAnsi"/>
          <w:lang w:val="en-GB"/>
        </w:rPr>
        <w:t xml:space="preserve"> </w:t>
      </w:r>
      <w:r w:rsidRPr="009576E3">
        <w:rPr>
          <w:rFonts w:asciiTheme="minorHAnsi" w:hAnsiTheme="minorHAnsi"/>
          <w:lang w:val="en-GB"/>
        </w:rPr>
        <w:t>be excluded. No clinically relevant effect is considered likely with occasional use of ibuprofen.</w:t>
      </w:r>
    </w:p>
    <w:p w:rsidR="00786242" w:rsidRDefault="00786242" w:rsidP="009576E3">
      <w:pPr>
        <w:pStyle w:val="ListParagraph"/>
        <w:spacing w:line="360" w:lineRule="auto"/>
        <w:ind w:left="0"/>
        <w:rPr>
          <w:rFonts w:asciiTheme="minorHAnsi" w:hAnsiTheme="minorHAnsi"/>
          <w:lang w:val="en-GB"/>
        </w:rPr>
      </w:pPr>
    </w:p>
    <w:p w:rsidR="00D52D13" w:rsidRPr="009576E3" w:rsidRDefault="00D52D13" w:rsidP="009576E3">
      <w:pPr>
        <w:pStyle w:val="ListParagraph"/>
        <w:spacing w:line="360" w:lineRule="auto"/>
        <w:ind w:left="0"/>
        <w:rPr>
          <w:rFonts w:asciiTheme="minorHAnsi" w:hAnsiTheme="minorHAnsi"/>
          <w:lang w:val="en-GB"/>
        </w:rPr>
      </w:pPr>
    </w:p>
    <w:p w:rsidR="00AE30FE" w:rsidRPr="00D52D13"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lastRenderedPageBreak/>
        <w:t>Pharmacokinetic properties</w:t>
      </w:r>
    </w:p>
    <w:p w:rsidR="00786242" w:rsidRPr="009576E3" w:rsidRDefault="00786242" w:rsidP="009576E3">
      <w:pPr>
        <w:pStyle w:val="ListParagraph"/>
        <w:spacing w:line="360" w:lineRule="auto"/>
        <w:ind w:left="0"/>
        <w:rPr>
          <w:rFonts w:asciiTheme="minorHAnsi" w:hAnsiTheme="minorHAnsi"/>
          <w:lang w:val="en-GB"/>
        </w:rPr>
      </w:pPr>
    </w:p>
    <w:p w:rsidR="00786242" w:rsidRPr="009576E3" w:rsidRDefault="00786242" w:rsidP="00D52D13">
      <w:pPr>
        <w:pStyle w:val="ListParagraph"/>
        <w:spacing w:line="360" w:lineRule="auto"/>
        <w:rPr>
          <w:rFonts w:asciiTheme="minorHAnsi" w:hAnsiTheme="minorHAnsi"/>
          <w:b/>
          <w:lang w:val="en-GB"/>
        </w:rPr>
      </w:pPr>
      <w:r w:rsidRPr="009576E3">
        <w:rPr>
          <w:rFonts w:asciiTheme="minorHAnsi" w:hAnsiTheme="minorHAnsi"/>
          <w:b/>
          <w:lang w:val="en-GB"/>
        </w:rPr>
        <w:t>Absorption</w:t>
      </w:r>
    </w:p>
    <w:p w:rsidR="00786242" w:rsidRPr="009576E3" w:rsidRDefault="00786242" w:rsidP="00D52D13">
      <w:pPr>
        <w:pStyle w:val="ListParagraph"/>
        <w:spacing w:line="360" w:lineRule="auto"/>
        <w:rPr>
          <w:rFonts w:asciiTheme="minorHAnsi" w:hAnsiTheme="minorHAnsi"/>
          <w:lang w:val="en-GB"/>
        </w:rPr>
      </w:pPr>
      <w:r w:rsidRPr="009576E3">
        <w:rPr>
          <w:rFonts w:asciiTheme="minorHAnsi" w:hAnsiTheme="minorHAnsi"/>
          <w:lang w:val="en-GB"/>
        </w:rPr>
        <w:t>After oral administration, some of the ibuprofen is absorbed in the stomach and the rest in the small intestine. Peak plasma concentrations are reached 1 to 2 hours after oral administration.</w:t>
      </w:r>
    </w:p>
    <w:p w:rsidR="00786242" w:rsidRPr="009576E3" w:rsidRDefault="00786242" w:rsidP="00D52D13">
      <w:pPr>
        <w:pStyle w:val="ListParagraph"/>
        <w:spacing w:line="360" w:lineRule="auto"/>
        <w:rPr>
          <w:rFonts w:asciiTheme="minorHAnsi" w:hAnsiTheme="minorHAnsi"/>
          <w:b/>
          <w:lang w:val="en-GB"/>
        </w:rPr>
      </w:pPr>
      <w:r w:rsidRPr="009576E3">
        <w:rPr>
          <w:rFonts w:asciiTheme="minorHAnsi" w:hAnsiTheme="minorHAnsi"/>
          <w:b/>
          <w:lang w:val="en-GB"/>
        </w:rPr>
        <w:t>Metabolism and elimination</w:t>
      </w:r>
    </w:p>
    <w:p w:rsidR="00786242" w:rsidRPr="009576E3" w:rsidRDefault="00786242" w:rsidP="00D52D13">
      <w:pPr>
        <w:pStyle w:val="ListParagraph"/>
        <w:spacing w:line="360" w:lineRule="auto"/>
        <w:rPr>
          <w:rFonts w:asciiTheme="minorHAnsi" w:hAnsiTheme="minorHAnsi"/>
          <w:lang w:val="en-GB"/>
        </w:rPr>
      </w:pPr>
      <w:r w:rsidRPr="009576E3">
        <w:rPr>
          <w:rFonts w:asciiTheme="minorHAnsi" w:hAnsiTheme="minorHAnsi"/>
          <w:lang w:val="en-GB"/>
        </w:rPr>
        <w:t xml:space="preserve">After its </w:t>
      </w:r>
      <w:proofErr w:type="spellStart"/>
      <w:r w:rsidRPr="009576E3">
        <w:rPr>
          <w:rFonts w:asciiTheme="minorHAnsi" w:hAnsiTheme="minorHAnsi"/>
          <w:lang w:val="en-GB"/>
        </w:rPr>
        <w:t>metabolisation</w:t>
      </w:r>
      <w:proofErr w:type="spellEnd"/>
      <w:r w:rsidRPr="009576E3">
        <w:rPr>
          <w:rFonts w:asciiTheme="minorHAnsi" w:hAnsiTheme="minorHAnsi"/>
          <w:lang w:val="en-GB"/>
        </w:rPr>
        <w:t xml:space="preserve"> by the liver (hydroxylation, carboxylation), all the pharmacologically inactive metabolites are excreted mainly by the kidneys (90%) but also by the bile. The elimination half-life in healthy subjects and in patients with hepatic or renal impairment is 1.8 to 3.5 hours and the plasma protein binding is approximately 99%.</w:t>
      </w:r>
    </w:p>
    <w:p w:rsidR="00786242" w:rsidRPr="009576E3" w:rsidRDefault="00507012" w:rsidP="00D52D13">
      <w:pPr>
        <w:pStyle w:val="ListParagraph"/>
        <w:spacing w:line="360" w:lineRule="auto"/>
        <w:rPr>
          <w:rFonts w:asciiTheme="minorHAnsi" w:hAnsiTheme="minorHAnsi"/>
          <w:b/>
          <w:lang w:val="en-GB"/>
        </w:rPr>
      </w:pPr>
      <w:r w:rsidRPr="009576E3">
        <w:rPr>
          <w:rFonts w:asciiTheme="minorHAnsi" w:hAnsiTheme="minorHAnsi"/>
          <w:b/>
          <w:lang w:val="en-GB"/>
        </w:rPr>
        <w:t>Paediatric</w:t>
      </w:r>
      <w:r w:rsidR="00786242" w:rsidRPr="009576E3">
        <w:rPr>
          <w:rFonts w:asciiTheme="minorHAnsi" w:hAnsiTheme="minorHAnsi"/>
          <w:b/>
          <w:lang w:val="en-GB"/>
        </w:rPr>
        <w:t xml:space="preserve"> population</w:t>
      </w:r>
    </w:p>
    <w:p w:rsidR="00786242" w:rsidRPr="009576E3" w:rsidRDefault="00786242" w:rsidP="00D52D13">
      <w:pPr>
        <w:pStyle w:val="ListParagraph"/>
        <w:spacing w:line="360" w:lineRule="auto"/>
        <w:rPr>
          <w:rFonts w:asciiTheme="minorHAnsi" w:hAnsiTheme="minorHAnsi"/>
          <w:lang w:val="en-GB"/>
        </w:rPr>
      </w:pPr>
      <w:r w:rsidRPr="009576E3">
        <w:rPr>
          <w:rFonts w:asciiTheme="minorHAnsi" w:hAnsiTheme="minorHAnsi"/>
          <w:lang w:val="en-GB"/>
        </w:rPr>
        <w:t>No pharmacokinetic studies have been conducted with this product in children. However, data from the literature confirm that the absorption, distribution, metabolism and elimination of ibuprofen are comparable in children and adults.</w:t>
      </w:r>
    </w:p>
    <w:p w:rsidR="00786242" w:rsidRPr="009576E3" w:rsidRDefault="00786242" w:rsidP="00D52D13">
      <w:pPr>
        <w:pStyle w:val="ListParagraph"/>
        <w:spacing w:line="360" w:lineRule="auto"/>
        <w:rPr>
          <w:rFonts w:asciiTheme="minorHAnsi" w:hAnsiTheme="minorHAnsi"/>
          <w:lang w:val="en-GB"/>
        </w:rPr>
      </w:pPr>
    </w:p>
    <w:p w:rsidR="00AE30FE" w:rsidRPr="00D52D13"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t>Preclinical safety data</w:t>
      </w:r>
    </w:p>
    <w:p w:rsidR="002B3DDF" w:rsidRPr="009576E3" w:rsidRDefault="002B3DDF" w:rsidP="009576E3">
      <w:pPr>
        <w:pStyle w:val="ListParagraph"/>
        <w:spacing w:line="360" w:lineRule="auto"/>
        <w:ind w:left="0"/>
        <w:rPr>
          <w:rFonts w:asciiTheme="minorHAnsi" w:hAnsiTheme="minorHAnsi"/>
          <w:lang w:val="en-GB"/>
        </w:rPr>
      </w:pPr>
    </w:p>
    <w:p w:rsidR="00786242" w:rsidRPr="009576E3" w:rsidRDefault="00786242" w:rsidP="00D52D13">
      <w:pPr>
        <w:pStyle w:val="ListParagraph"/>
        <w:spacing w:line="360" w:lineRule="auto"/>
        <w:rPr>
          <w:rFonts w:asciiTheme="minorHAnsi" w:hAnsiTheme="minorHAnsi"/>
          <w:b/>
          <w:lang w:val="en-GB"/>
        </w:rPr>
      </w:pPr>
      <w:r w:rsidRPr="009576E3">
        <w:rPr>
          <w:rFonts w:asciiTheme="minorHAnsi" w:hAnsiTheme="minorHAnsi"/>
          <w:b/>
          <w:lang w:val="en-GB"/>
        </w:rPr>
        <w:t>Chronic toxicity</w:t>
      </w:r>
    </w:p>
    <w:p w:rsidR="00786242" w:rsidRPr="009576E3" w:rsidRDefault="00786242" w:rsidP="00D52D13">
      <w:pPr>
        <w:pStyle w:val="ListParagraph"/>
        <w:spacing w:line="360" w:lineRule="auto"/>
        <w:rPr>
          <w:rFonts w:asciiTheme="minorHAnsi" w:hAnsiTheme="minorHAnsi"/>
          <w:lang w:val="en-GB"/>
        </w:rPr>
      </w:pPr>
      <w:r w:rsidRPr="009576E3">
        <w:rPr>
          <w:rFonts w:asciiTheme="minorHAnsi" w:hAnsiTheme="minorHAnsi"/>
          <w:lang w:val="en-GB"/>
        </w:rPr>
        <w:t xml:space="preserve">The </w:t>
      </w:r>
      <w:proofErr w:type="spellStart"/>
      <w:r w:rsidRPr="009576E3">
        <w:rPr>
          <w:rFonts w:asciiTheme="minorHAnsi" w:hAnsiTheme="minorHAnsi"/>
          <w:lang w:val="en-GB"/>
        </w:rPr>
        <w:t>subchronic</w:t>
      </w:r>
      <w:proofErr w:type="spellEnd"/>
      <w:r w:rsidRPr="009576E3">
        <w:rPr>
          <w:rFonts w:asciiTheme="minorHAnsi" w:hAnsiTheme="minorHAnsi"/>
          <w:lang w:val="en-GB"/>
        </w:rPr>
        <w:t xml:space="preserve"> and chronic toxicity of ibuprofen in animal studies has been manifested as lesions and ulcers in the gastrointestinal tract.</w:t>
      </w:r>
    </w:p>
    <w:p w:rsidR="00786242" w:rsidRPr="009576E3" w:rsidRDefault="00786242" w:rsidP="00D52D13">
      <w:pPr>
        <w:pStyle w:val="ListParagraph"/>
        <w:spacing w:line="360" w:lineRule="auto"/>
        <w:rPr>
          <w:rFonts w:asciiTheme="minorHAnsi" w:hAnsiTheme="minorHAnsi"/>
          <w:b/>
          <w:lang w:val="en-GB"/>
        </w:rPr>
      </w:pPr>
      <w:r w:rsidRPr="009576E3">
        <w:rPr>
          <w:rFonts w:asciiTheme="minorHAnsi" w:hAnsiTheme="minorHAnsi"/>
          <w:b/>
          <w:lang w:val="en-GB"/>
        </w:rPr>
        <w:t>Mutagenic and tumorigenic potential</w:t>
      </w:r>
    </w:p>
    <w:p w:rsidR="00786242" w:rsidRPr="009576E3" w:rsidRDefault="00786242" w:rsidP="00D52D13">
      <w:pPr>
        <w:pStyle w:val="ListParagraph"/>
        <w:spacing w:line="360" w:lineRule="auto"/>
        <w:rPr>
          <w:rFonts w:asciiTheme="minorHAnsi" w:hAnsiTheme="minorHAnsi"/>
          <w:lang w:val="en-GB"/>
        </w:rPr>
      </w:pPr>
      <w:r w:rsidRPr="009576E3">
        <w:rPr>
          <w:rFonts w:asciiTheme="minorHAnsi" w:hAnsiTheme="minorHAnsi"/>
          <w:lang w:val="en-GB"/>
        </w:rPr>
        <w:t>In vitro and in vivo studies did not produce clinically relevant data indicating a mutagenic effect of ibuprofen. Similarly, tumorigenic potential studies in rats and mice revealed no carcinogenic effects of ibuprofen.</w:t>
      </w:r>
    </w:p>
    <w:p w:rsidR="00786242" w:rsidRPr="009576E3" w:rsidRDefault="00786242" w:rsidP="00D52D13">
      <w:pPr>
        <w:pStyle w:val="ListParagraph"/>
        <w:spacing w:line="360" w:lineRule="auto"/>
        <w:rPr>
          <w:rFonts w:asciiTheme="minorHAnsi" w:hAnsiTheme="minorHAnsi"/>
          <w:b/>
          <w:lang w:val="en-GB"/>
        </w:rPr>
      </w:pPr>
      <w:r w:rsidRPr="009576E3">
        <w:rPr>
          <w:rFonts w:asciiTheme="minorHAnsi" w:hAnsiTheme="minorHAnsi"/>
          <w:b/>
          <w:lang w:val="en-GB"/>
        </w:rPr>
        <w:t>Reproductive toxicity</w:t>
      </w:r>
    </w:p>
    <w:p w:rsidR="00786242" w:rsidRPr="009576E3" w:rsidRDefault="00786242" w:rsidP="00D52D13">
      <w:pPr>
        <w:pStyle w:val="ListParagraph"/>
        <w:spacing w:line="360" w:lineRule="auto"/>
        <w:rPr>
          <w:rFonts w:asciiTheme="minorHAnsi" w:hAnsiTheme="minorHAnsi"/>
          <w:lang w:val="en-GB"/>
        </w:rPr>
      </w:pPr>
      <w:r w:rsidRPr="009576E3">
        <w:rPr>
          <w:rFonts w:asciiTheme="minorHAnsi" w:hAnsiTheme="minorHAnsi"/>
          <w:lang w:val="en-GB"/>
        </w:rPr>
        <w:t xml:space="preserve">Ibuprofen caused inhibition of ovulation in rabbits and altered </w:t>
      </w:r>
      <w:proofErr w:type="spellStart"/>
      <w:r w:rsidRPr="009576E3">
        <w:rPr>
          <w:rFonts w:asciiTheme="minorHAnsi" w:hAnsiTheme="minorHAnsi"/>
          <w:lang w:val="en-GB"/>
        </w:rPr>
        <w:t>nidation</w:t>
      </w:r>
      <w:proofErr w:type="spellEnd"/>
      <w:r w:rsidRPr="009576E3">
        <w:rPr>
          <w:rFonts w:asciiTheme="minorHAnsi" w:hAnsiTheme="minorHAnsi"/>
          <w:lang w:val="en-GB"/>
        </w:rPr>
        <w:t xml:space="preserve"> in various animal species (rabbit, rat, mouse). Experimental studies in rats and rabbits have shown that ibuprofen crosses the placenta. Following the administration of maternally toxic doses in rats, an increased incidence of malformations (interventricular abnormalities) was observed in their offspring.</w:t>
      </w:r>
    </w:p>
    <w:p w:rsidR="00AE30FE" w:rsidRPr="00D52D13" w:rsidRDefault="00AE30FE" w:rsidP="009576E3">
      <w:pPr>
        <w:pStyle w:val="ListParagraph"/>
        <w:numPr>
          <w:ilvl w:val="0"/>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lastRenderedPageBreak/>
        <w:t>PHARMACEUTICAL PARTICULARS</w:t>
      </w:r>
    </w:p>
    <w:p w:rsidR="00AE30FE" w:rsidRPr="00D52D13"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D52D13">
        <w:rPr>
          <w:rFonts w:asciiTheme="minorHAnsi" w:hAnsiTheme="minorHAnsi"/>
          <w:b/>
          <w:sz w:val="26"/>
          <w:szCs w:val="26"/>
          <w:lang w:val="en-GB"/>
        </w:rPr>
        <w:t>List of excipients</w:t>
      </w:r>
    </w:p>
    <w:p w:rsidR="00507012" w:rsidRPr="009576E3"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 xml:space="preserve">Methyl </w:t>
      </w:r>
      <w:proofErr w:type="spellStart"/>
      <w:r w:rsidRPr="009576E3">
        <w:rPr>
          <w:rFonts w:asciiTheme="minorHAnsi" w:hAnsiTheme="minorHAnsi"/>
          <w:lang w:val="en-GB"/>
        </w:rPr>
        <w:t>parahydroxybenzoate</w:t>
      </w:r>
      <w:proofErr w:type="spellEnd"/>
      <w:r w:rsidRPr="009576E3">
        <w:rPr>
          <w:rFonts w:asciiTheme="minorHAnsi" w:hAnsiTheme="minorHAnsi"/>
          <w:lang w:val="en-GB"/>
        </w:rPr>
        <w:t>,</w:t>
      </w:r>
    </w:p>
    <w:p w:rsidR="00507012" w:rsidRPr="009576E3"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 xml:space="preserve">Propyl </w:t>
      </w:r>
      <w:proofErr w:type="spellStart"/>
      <w:r w:rsidRPr="009576E3">
        <w:rPr>
          <w:rFonts w:asciiTheme="minorHAnsi" w:hAnsiTheme="minorHAnsi"/>
          <w:lang w:val="en-GB"/>
        </w:rPr>
        <w:t>parahydroxybenzoate</w:t>
      </w:r>
      <w:proofErr w:type="spellEnd"/>
      <w:r w:rsidRPr="009576E3">
        <w:rPr>
          <w:rFonts w:asciiTheme="minorHAnsi" w:hAnsiTheme="minorHAnsi"/>
          <w:lang w:val="en-GB"/>
        </w:rPr>
        <w:t>,</w:t>
      </w:r>
    </w:p>
    <w:p w:rsidR="00507012" w:rsidRPr="009576E3"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Sucrose,</w:t>
      </w:r>
    </w:p>
    <w:p w:rsidR="00507012" w:rsidRPr="009576E3"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 xml:space="preserve">Citric acid monohydrate, </w:t>
      </w:r>
    </w:p>
    <w:p w:rsidR="00507012" w:rsidRPr="009576E3"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 xml:space="preserve">Sodium benzoate, </w:t>
      </w:r>
    </w:p>
    <w:p w:rsidR="00507012" w:rsidRPr="009576E3" w:rsidRDefault="00B11445" w:rsidP="009576E3">
      <w:pPr>
        <w:pStyle w:val="ListParagraph"/>
        <w:numPr>
          <w:ilvl w:val="0"/>
          <w:numId w:val="17"/>
        </w:numPr>
        <w:spacing w:line="360" w:lineRule="auto"/>
        <w:rPr>
          <w:rFonts w:asciiTheme="minorHAnsi" w:hAnsiTheme="minorHAnsi"/>
          <w:lang w:val="en-GB"/>
        </w:rPr>
      </w:pPr>
      <w:proofErr w:type="gramStart"/>
      <w:r>
        <w:rPr>
          <w:rFonts w:asciiTheme="minorHAnsi" w:hAnsiTheme="minorHAnsi"/>
          <w:lang w:val="en-GB"/>
        </w:rPr>
        <w:t xml:space="preserve">Agar </w:t>
      </w:r>
      <w:r w:rsidR="009326DD" w:rsidRPr="009576E3">
        <w:rPr>
          <w:rFonts w:asciiTheme="minorHAnsi" w:hAnsiTheme="minorHAnsi"/>
          <w:lang w:val="en-GB"/>
        </w:rPr>
        <w:t>,</w:t>
      </w:r>
      <w:proofErr w:type="gramEnd"/>
      <w:r w:rsidR="009326DD" w:rsidRPr="009576E3">
        <w:rPr>
          <w:rFonts w:asciiTheme="minorHAnsi" w:hAnsiTheme="minorHAnsi"/>
          <w:lang w:val="en-GB"/>
        </w:rPr>
        <w:t xml:space="preserve"> </w:t>
      </w:r>
    </w:p>
    <w:p w:rsidR="00507012" w:rsidRPr="009576E3"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 xml:space="preserve">Glycerol, </w:t>
      </w:r>
    </w:p>
    <w:p w:rsidR="00507012" w:rsidRPr="009576E3"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 xml:space="preserve">Liquid sorbitol, </w:t>
      </w:r>
    </w:p>
    <w:p w:rsidR="00507012" w:rsidRPr="009576E3"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 xml:space="preserve">Light sterilized kaolin, </w:t>
      </w:r>
    </w:p>
    <w:p w:rsidR="00507012" w:rsidRPr="009576E3" w:rsidRDefault="009326DD" w:rsidP="009576E3">
      <w:pPr>
        <w:pStyle w:val="ListParagraph"/>
        <w:numPr>
          <w:ilvl w:val="0"/>
          <w:numId w:val="17"/>
        </w:numPr>
        <w:spacing w:line="360" w:lineRule="auto"/>
        <w:rPr>
          <w:rFonts w:asciiTheme="minorHAnsi" w:hAnsiTheme="minorHAnsi"/>
          <w:lang w:val="en-GB"/>
        </w:rPr>
      </w:pPr>
      <w:proofErr w:type="spellStart"/>
      <w:r w:rsidRPr="009576E3">
        <w:rPr>
          <w:rFonts w:asciiTheme="minorHAnsi" w:hAnsiTheme="minorHAnsi"/>
          <w:lang w:val="en-GB"/>
        </w:rPr>
        <w:t>Polysorbate</w:t>
      </w:r>
      <w:proofErr w:type="spellEnd"/>
      <w:r w:rsidRPr="009576E3">
        <w:rPr>
          <w:rFonts w:asciiTheme="minorHAnsi" w:hAnsiTheme="minorHAnsi"/>
          <w:lang w:val="en-GB"/>
        </w:rPr>
        <w:t xml:space="preserve"> 80,</w:t>
      </w:r>
    </w:p>
    <w:p w:rsidR="00B11445" w:rsidRDefault="00141E6C" w:rsidP="0052195E">
      <w:pPr>
        <w:pStyle w:val="ListParagraph"/>
        <w:numPr>
          <w:ilvl w:val="0"/>
          <w:numId w:val="17"/>
        </w:numPr>
        <w:spacing w:line="360" w:lineRule="auto"/>
        <w:rPr>
          <w:rFonts w:asciiTheme="minorHAnsi" w:hAnsiTheme="minorHAnsi"/>
          <w:lang w:val="en-GB"/>
        </w:rPr>
      </w:pPr>
      <w:r w:rsidRPr="00B11445">
        <w:rPr>
          <w:rFonts w:asciiTheme="minorHAnsi" w:hAnsiTheme="minorHAnsi"/>
          <w:lang w:val="en-GB"/>
        </w:rPr>
        <w:t xml:space="preserve">Sunset yellow FC </w:t>
      </w:r>
    </w:p>
    <w:p w:rsidR="00507012" w:rsidRPr="00B11445" w:rsidRDefault="009326DD" w:rsidP="0052195E">
      <w:pPr>
        <w:pStyle w:val="ListParagraph"/>
        <w:numPr>
          <w:ilvl w:val="0"/>
          <w:numId w:val="17"/>
        </w:numPr>
        <w:spacing w:line="360" w:lineRule="auto"/>
        <w:rPr>
          <w:rFonts w:asciiTheme="minorHAnsi" w:hAnsiTheme="minorHAnsi"/>
          <w:lang w:val="en-GB"/>
        </w:rPr>
      </w:pPr>
      <w:r w:rsidRPr="00B11445">
        <w:rPr>
          <w:rFonts w:asciiTheme="minorHAnsi" w:hAnsiTheme="minorHAnsi"/>
          <w:lang w:val="en-GB"/>
        </w:rPr>
        <w:t>Flavour of orange,</w:t>
      </w:r>
    </w:p>
    <w:p w:rsidR="002B3DDF" w:rsidRDefault="009326DD" w:rsidP="009576E3">
      <w:pPr>
        <w:pStyle w:val="ListParagraph"/>
        <w:numPr>
          <w:ilvl w:val="0"/>
          <w:numId w:val="17"/>
        </w:numPr>
        <w:spacing w:line="360" w:lineRule="auto"/>
        <w:rPr>
          <w:rFonts w:asciiTheme="minorHAnsi" w:hAnsiTheme="minorHAnsi"/>
          <w:lang w:val="en-GB"/>
        </w:rPr>
      </w:pPr>
      <w:r w:rsidRPr="009576E3">
        <w:rPr>
          <w:rFonts w:asciiTheme="minorHAnsi" w:hAnsiTheme="minorHAnsi"/>
          <w:lang w:val="en-GB"/>
        </w:rPr>
        <w:t>Purified water</w:t>
      </w:r>
    </w:p>
    <w:p w:rsidR="00B11445" w:rsidRPr="009576E3" w:rsidRDefault="00B11445" w:rsidP="00B11445">
      <w:pPr>
        <w:pStyle w:val="ListParagraph"/>
        <w:spacing w:line="360" w:lineRule="auto"/>
        <w:rPr>
          <w:rFonts w:asciiTheme="minorHAnsi" w:hAnsiTheme="minorHAnsi"/>
          <w:lang w:val="en-GB"/>
        </w:rPr>
      </w:pPr>
    </w:p>
    <w:p w:rsidR="00AE30FE" w:rsidRPr="00B11445"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B11445">
        <w:rPr>
          <w:rFonts w:asciiTheme="minorHAnsi" w:hAnsiTheme="minorHAnsi"/>
          <w:b/>
          <w:sz w:val="26"/>
          <w:szCs w:val="26"/>
          <w:lang w:val="en-GB"/>
        </w:rPr>
        <w:t>Incompatibilities</w:t>
      </w:r>
    </w:p>
    <w:p w:rsidR="002B3DDF" w:rsidRDefault="009326DD" w:rsidP="00B11445">
      <w:pPr>
        <w:pStyle w:val="ListParagraph"/>
        <w:spacing w:line="360" w:lineRule="auto"/>
        <w:ind w:left="0" w:firstLine="720"/>
        <w:rPr>
          <w:rFonts w:asciiTheme="minorHAnsi" w:hAnsiTheme="minorHAnsi"/>
          <w:lang w:val="en-GB"/>
        </w:rPr>
      </w:pPr>
      <w:r w:rsidRPr="009576E3">
        <w:rPr>
          <w:rFonts w:asciiTheme="minorHAnsi" w:hAnsiTheme="minorHAnsi"/>
          <w:lang w:val="en-GB"/>
        </w:rPr>
        <w:t>N</w:t>
      </w:r>
      <w:r w:rsidR="00141E6C" w:rsidRPr="009576E3">
        <w:rPr>
          <w:rFonts w:asciiTheme="minorHAnsi" w:hAnsiTheme="minorHAnsi"/>
          <w:lang w:val="en-GB"/>
        </w:rPr>
        <w:t>o</w:t>
      </w:r>
      <w:r w:rsidR="00B11445">
        <w:rPr>
          <w:rFonts w:asciiTheme="minorHAnsi" w:hAnsiTheme="minorHAnsi"/>
          <w:lang w:val="en-GB"/>
        </w:rPr>
        <w:t>t applicable</w:t>
      </w:r>
    </w:p>
    <w:p w:rsidR="00B11445" w:rsidRPr="009576E3" w:rsidRDefault="00B11445" w:rsidP="00B11445">
      <w:pPr>
        <w:pStyle w:val="ListParagraph"/>
        <w:spacing w:line="360" w:lineRule="auto"/>
        <w:ind w:left="0" w:firstLine="720"/>
        <w:rPr>
          <w:rFonts w:asciiTheme="minorHAnsi" w:hAnsiTheme="minorHAnsi"/>
          <w:lang w:val="en-GB"/>
        </w:rPr>
      </w:pPr>
    </w:p>
    <w:p w:rsidR="00AE30FE" w:rsidRPr="00B11445"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B11445">
        <w:rPr>
          <w:rFonts w:asciiTheme="minorHAnsi" w:hAnsiTheme="minorHAnsi"/>
          <w:b/>
          <w:sz w:val="26"/>
          <w:szCs w:val="26"/>
          <w:lang w:val="en-GB"/>
        </w:rPr>
        <w:t>Shelf life</w:t>
      </w:r>
    </w:p>
    <w:p w:rsidR="002B3DDF" w:rsidRDefault="009326DD" w:rsidP="00B11445">
      <w:pPr>
        <w:pStyle w:val="ListParagraph"/>
        <w:spacing w:line="360" w:lineRule="auto"/>
        <w:ind w:left="0" w:firstLine="720"/>
        <w:rPr>
          <w:rFonts w:asciiTheme="minorHAnsi" w:hAnsiTheme="minorHAnsi"/>
          <w:lang w:val="en-GB"/>
        </w:rPr>
      </w:pPr>
      <w:r w:rsidRPr="009576E3">
        <w:rPr>
          <w:rFonts w:asciiTheme="minorHAnsi" w:hAnsiTheme="minorHAnsi"/>
          <w:lang w:val="en-GB"/>
        </w:rPr>
        <w:t xml:space="preserve"> 3 years</w:t>
      </w:r>
      <w:r w:rsidR="00611F46" w:rsidRPr="009576E3">
        <w:rPr>
          <w:rFonts w:asciiTheme="minorHAnsi" w:hAnsiTheme="minorHAnsi"/>
          <w:lang w:val="en-GB"/>
        </w:rPr>
        <w:t>.</w:t>
      </w:r>
    </w:p>
    <w:p w:rsidR="00B11445" w:rsidRPr="009576E3" w:rsidRDefault="00B11445" w:rsidP="00B11445">
      <w:pPr>
        <w:pStyle w:val="ListParagraph"/>
        <w:spacing w:line="360" w:lineRule="auto"/>
        <w:ind w:left="0" w:firstLine="720"/>
        <w:rPr>
          <w:rFonts w:asciiTheme="minorHAnsi" w:hAnsiTheme="minorHAnsi"/>
          <w:lang w:val="en-GB"/>
        </w:rPr>
      </w:pPr>
    </w:p>
    <w:p w:rsidR="00AE30FE" w:rsidRPr="00B11445"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B11445">
        <w:rPr>
          <w:rFonts w:asciiTheme="minorHAnsi" w:hAnsiTheme="minorHAnsi"/>
          <w:b/>
          <w:sz w:val="26"/>
          <w:szCs w:val="26"/>
          <w:lang w:val="en-GB"/>
        </w:rPr>
        <w:t>Special precautions for storage</w:t>
      </w:r>
    </w:p>
    <w:p w:rsidR="002B3DDF" w:rsidRDefault="00141E6C" w:rsidP="00B11445">
      <w:pPr>
        <w:pStyle w:val="ListParagraph"/>
        <w:spacing w:line="360" w:lineRule="auto"/>
        <w:rPr>
          <w:rFonts w:asciiTheme="minorHAnsi" w:hAnsiTheme="minorHAnsi"/>
          <w:lang w:val="en-GB"/>
        </w:rPr>
      </w:pPr>
      <w:r w:rsidRPr="009576E3">
        <w:rPr>
          <w:rFonts w:asciiTheme="minorHAnsi" w:hAnsiTheme="minorHAnsi"/>
          <w:lang w:val="en-GB"/>
        </w:rPr>
        <w:t>Store below 30°C</w:t>
      </w:r>
      <w:r w:rsidR="00611F46" w:rsidRPr="009576E3">
        <w:rPr>
          <w:rFonts w:asciiTheme="minorHAnsi" w:hAnsiTheme="minorHAnsi"/>
          <w:lang w:val="en-GB"/>
        </w:rPr>
        <w:t>, in original pack to protect from light.</w:t>
      </w:r>
    </w:p>
    <w:p w:rsidR="00B11445" w:rsidRPr="009576E3" w:rsidRDefault="00B11445" w:rsidP="00B11445">
      <w:pPr>
        <w:pStyle w:val="ListParagraph"/>
        <w:spacing w:line="360" w:lineRule="auto"/>
        <w:rPr>
          <w:rFonts w:asciiTheme="minorHAnsi" w:hAnsiTheme="minorHAnsi"/>
          <w:lang w:val="en-GB"/>
        </w:rPr>
      </w:pPr>
    </w:p>
    <w:p w:rsidR="00AE30FE" w:rsidRPr="00B11445"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B11445">
        <w:rPr>
          <w:rFonts w:asciiTheme="minorHAnsi" w:hAnsiTheme="minorHAnsi"/>
          <w:b/>
          <w:sz w:val="26"/>
          <w:szCs w:val="26"/>
          <w:lang w:val="en-GB"/>
        </w:rPr>
        <w:t>Nature and contents of container</w:t>
      </w:r>
    </w:p>
    <w:p w:rsidR="00507012" w:rsidRPr="009576E3" w:rsidRDefault="009326DD" w:rsidP="009576E3">
      <w:pPr>
        <w:pStyle w:val="ListParagraph"/>
        <w:numPr>
          <w:ilvl w:val="0"/>
          <w:numId w:val="18"/>
        </w:numPr>
        <w:spacing w:line="360" w:lineRule="auto"/>
        <w:rPr>
          <w:rFonts w:asciiTheme="minorHAnsi" w:hAnsiTheme="minorHAnsi"/>
          <w:lang w:val="en-GB"/>
        </w:rPr>
      </w:pPr>
      <w:proofErr w:type="spellStart"/>
      <w:r w:rsidRPr="009576E3">
        <w:rPr>
          <w:rFonts w:asciiTheme="minorHAnsi" w:hAnsiTheme="minorHAnsi"/>
          <w:lang w:val="en-GB"/>
        </w:rPr>
        <w:t>Pedifen</w:t>
      </w:r>
      <w:proofErr w:type="spellEnd"/>
      <w:r w:rsidRPr="009576E3">
        <w:rPr>
          <w:rFonts w:asciiTheme="minorHAnsi" w:hAnsiTheme="minorHAnsi"/>
          <w:lang w:val="en-GB"/>
        </w:rPr>
        <w:t xml:space="preserve"> </w:t>
      </w:r>
      <w:proofErr w:type="spellStart"/>
      <w:r w:rsidR="00E85B74">
        <w:rPr>
          <w:rFonts w:asciiTheme="minorHAnsi" w:hAnsiTheme="minorHAnsi"/>
          <w:lang w:val="en-GB"/>
        </w:rPr>
        <w:t>Pediatric</w:t>
      </w:r>
      <w:proofErr w:type="spellEnd"/>
      <w:r w:rsidRPr="009576E3">
        <w:rPr>
          <w:rFonts w:asciiTheme="minorHAnsi" w:hAnsiTheme="minorHAnsi"/>
          <w:lang w:val="en-GB"/>
        </w:rPr>
        <w:t xml:space="preserve"> Suspension </w:t>
      </w:r>
      <w:r w:rsidR="00B11445">
        <w:rPr>
          <w:rFonts w:asciiTheme="minorHAnsi" w:hAnsiTheme="minorHAnsi"/>
          <w:lang w:val="en-GB"/>
        </w:rPr>
        <w:t xml:space="preserve">is an </w:t>
      </w:r>
      <w:r w:rsidRPr="009576E3">
        <w:rPr>
          <w:rFonts w:asciiTheme="minorHAnsi" w:hAnsiTheme="minorHAnsi"/>
          <w:lang w:val="en-GB"/>
        </w:rPr>
        <w:t xml:space="preserve">orange syrup </w:t>
      </w:r>
      <w:proofErr w:type="gramStart"/>
      <w:r w:rsidRPr="009576E3">
        <w:rPr>
          <w:rFonts w:asciiTheme="minorHAnsi" w:hAnsiTheme="minorHAnsi"/>
          <w:lang w:val="en-GB"/>
        </w:rPr>
        <w:t>suspension,</w:t>
      </w:r>
      <w:proofErr w:type="gramEnd"/>
      <w:r w:rsidRPr="009576E3">
        <w:rPr>
          <w:rFonts w:asciiTheme="minorHAnsi" w:hAnsiTheme="minorHAnsi"/>
          <w:lang w:val="en-GB"/>
        </w:rPr>
        <w:t xml:space="preserve"> each 5 ml contains 100 mg ibuprofen.</w:t>
      </w:r>
    </w:p>
    <w:p w:rsidR="002B3DDF" w:rsidRDefault="009326DD" w:rsidP="009576E3">
      <w:pPr>
        <w:pStyle w:val="ListParagraph"/>
        <w:numPr>
          <w:ilvl w:val="0"/>
          <w:numId w:val="18"/>
        </w:numPr>
        <w:spacing w:line="360" w:lineRule="auto"/>
        <w:rPr>
          <w:rFonts w:asciiTheme="minorHAnsi" w:hAnsiTheme="minorHAnsi"/>
          <w:lang w:val="en-GB"/>
        </w:rPr>
      </w:pPr>
      <w:r w:rsidRPr="009576E3">
        <w:rPr>
          <w:rFonts w:asciiTheme="minorHAnsi" w:hAnsiTheme="minorHAnsi"/>
          <w:lang w:val="en-GB"/>
        </w:rPr>
        <w:t xml:space="preserve">The product is packaged in an amber glass bottle containing 100 ml of suspension, </w:t>
      </w:r>
      <w:r w:rsidR="003D3E84">
        <w:rPr>
          <w:rFonts w:asciiTheme="minorHAnsi" w:hAnsiTheme="minorHAnsi"/>
          <w:lang w:val="en-GB"/>
        </w:rPr>
        <w:t xml:space="preserve">closed </w:t>
      </w:r>
      <w:r w:rsidRPr="009576E3">
        <w:rPr>
          <w:rFonts w:asciiTheme="minorHAnsi" w:hAnsiTheme="minorHAnsi"/>
          <w:lang w:val="en-GB"/>
        </w:rPr>
        <w:t xml:space="preserve">with </w:t>
      </w:r>
      <w:r w:rsidR="00141E6C" w:rsidRPr="009576E3">
        <w:rPr>
          <w:rFonts w:asciiTheme="minorHAnsi" w:hAnsiTheme="minorHAnsi"/>
          <w:lang w:val="en-GB"/>
        </w:rPr>
        <w:t>a</w:t>
      </w:r>
      <w:r w:rsidR="003D3E84">
        <w:rPr>
          <w:rFonts w:asciiTheme="minorHAnsi" w:hAnsiTheme="minorHAnsi"/>
          <w:lang w:val="en-GB"/>
        </w:rPr>
        <w:t xml:space="preserve"> white plastic</w:t>
      </w:r>
      <w:r w:rsidRPr="009576E3">
        <w:rPr>
          <w:rFonts w:asciiTheme="minorHAnsi" w:hAnsiTheme="minorHAnsi"/>
          <w:lang w:val="en-GB"/>
        </w:rPr>
        <w:t xml:space="preserve"> screw cap</w:t>
      </w:r>
      <w:r w:rsidR="00141E6C" w:rsidRPr="009576E3">
        <w:rPr>
          <w:rFonts w:asciiTheme="minorHAnsi" w:hAnsiTheme="minorHAnsi"/>
          <w:lang w:val="en-GB"/>
        </w:rPr>
        <w:t xml:space="preserve"> (inner layer LDPE)</w:t>
      </w:r>
      <w:r w:rsidRPr="009576E3">
        <w:rPr>
          <w:rFonts w:asciiTheme="minorHAnsi" w:hAnsiTheme="minorHAnsi"/>
          <w:lang w:val="en-GB"/>
        </w:rPr>
        <w:t>, in a cardboard box.</w:t>
      </w:r>
    </w:p>
    <w:p w:rsidR="003D3E84" w:rsidRPr="009576E3" w:rsidRDefault="003D3E84" w:rsidP="003D3E84">
      <w:pPr>
        <w:pStyle w:val="ListParagraph"/>
        <w:spacing w:line="360" w:lineRule="auto"/>
        <w:rPr>
          <w:rFonts w:asciiTheme="minorHAnsi" w:hAnsiTheme="minorHAnsi"/>
          <w:lang w:val="en-GB"/>
        </w:rPr>
      </w:pPr>
      <w:r>
        <w:rPr>
          <w:rFonts w:asciiTheme="minorHAnsi" w:hAnsiTheme="minorHAnsi"/>
          <w:lang w:val="en-GB"/>
        </w:rPr>
        <w:t>The box contains a plastic measuring device.</w:t>
      </w:r>
    </w:p>
    <w:p w:rsidR="00AE30FE" w:rsidRPr="003D3E84" w:rsidRDefault="00AE30FE" w:rsidP="009576E3">
      <w:pPr>
        <w:pStyle w:val="ListParagraph"/>
        <w:numPr>
          <w:ilvl w:val="1"/>
          <w:numId w:val="12"/>
        </w:numPr>
        <w:spacing w:line="360" w:lineRule="auto"/>
        <w:ind w:left="0" w:firstLine="0"/>
        <w:rPr>
          <w:rFonts w:asciiTheme="minorHAnsi" w:hAnsiTheme="minorHAnsi"/>
          <w:b/>
          <w:sz w:val="26"/>
          <w:szCs w:val="26"/>
          <w:lang w:val="en-GB"/>
        </w:rPr>
      </w:pPr>
      <w:r w:rsidRPr="003D3E84">
        <w:rPr>
          <w:rFonts w:asciiTheme="minorHAnsi" w:hAnsiTheme="minorHAnsi"/>
          <w:b/>
          <w:sz w:val="26"/>
          <w:szCs w:val="26"/>
          <w:lang w:val="en-GB"/>
        </w:rPr>
        <w:lastRenderedPageBreak/>
        <w:t>Special precautions for disposal and other handlings</w:t>
      </w:r>
    </w:p>
    <w:p w:rsidR="003D3E84" w:rsidRDefault="003D3E84" w:rsidP="003D3E84">
      <w:pPr>
        <w:pStyle w:val="ListParagraph"/>
        <w:spacing w:line="360" w:lineRule="auto"/>
        <w:rPr>
          <w:rFonts w:asciiTheme="minorHAnsi" w:hAnsiTheme="minorHAnsi"/>
          <w:lang w:val="en-GB"/>
        </w:rPr>
      </w:pPr>
      <w:r>
        <w:rPr>
          <w:rFonts w:asciiTheme="minorHAnsi" w:hAnsiTheme="minorHAnsi"/>
          <w:lang w:val="en-GB"/>
        </w:rPr>
        <w:t>No special requirements for disposal.</w:t>
      </w:r>
    </w:p>
    <w:p w:rsidR="009326DD" w:rsidRDefault="009326DD" w:rsidP="003D3E84">
      <w:pPr>
        <w:pStyle w:val="ListParagraph"/>
        <w:spacing w:line="360" w:lineRule="auto"/>
        <w:rPr>
          <w:rFonts w:asciiTheme="minorHAnsi" w:hAnsiTheme="minorHAnsi"/>
          <w:lang w:val="en-GB"/>
        </w:rPr>
      </w:pPr>
      <w:r w:rsidRPr="009576E3">
        <w:rPr>
          <w:rFonts w:asciiTheme="minorHAnsi" w:hAnsiTheme="minorHAnsi"/>
          <w:lang w:val="en-GB"/>
        </w:rPr>
        <w:t xml:space="preserve">Any unused medicine or waste must be disposed of in accordance with </w:t>
      </w:r>
      <w:r w:rsidR="003D3E84">
        <w:rPr>
          <w:rFonts w:asciiTheme="minorHAnsi" w:hAnsiTheme="minorHAnsi"/>
          <w:lang w:val="en-GB"/>
        </w:rPr>
        <w:t>local requirement</w:t>
      </w:r>
      <w:r w:rsidRPr="009576E3">
        <w:rPr>
          <w:rFonts w:asciiTheme="minorHAnsi" w:hAnsiTheme="minorHAnsi"/>
          <w:lang w:val="en-GB"/>
        </w:rPr>
        <w:t>.</w:t>
      </w:r>
    </w:p>
    <w:p w:rsidR="003D3E84" w:rsidRPr="009576E3" w:rsidRDefault="003D3E84" w:rsidP="003D3E84">
      <w:pPr>
        <w:pStyle w:val="ListParagraph"/>
        <w:spacing w:line="360" w:lineRule="auto"/>
        <w:rPr>
          <w:rFonts w:asciiTheme="minorHAnsi" w:hAnsiTheme="minorHAnsi"/>
          <w:lang w:val="en-GB"/>
        </w:rPr>
      </w:pPr>
    </w:p>
    <w:p w:rsidR="00AE30FE" w:rsidRPr="003D3E84" w:rsidRDefault="00AE30FE" w:rsidP="009576E3">
      <w:pPr>
        <w:pStyle w:val="ListParagraph"/>
        <w:numPr>
          <w:ilvl w:val="0"/>
          <w:numId w:val="12"/>
        </w:numPr>
        <w:spacing w:line="360" w:lineRule="auto"/>
        <w:ind w:left="0" w:firstLine="0"/>
        <w:rPr>
          <w:rFonts w:asciiTheme="minorHAnsi" w:hAnsiTheme="minorHAnsi"/>
          <w:b/>
          <w:sz w:val="26"/>
          <w:szCs w:val="26"/>
          <w:lang w:val="en-GB"/>
        </w:rPr>
      </w:pPr>
      <w:r w:rsidRPr="003D3E84">
        <w:rPr>
          <w:rFonts w:asciiTheme="minorHAnsi" w:hAnsiTheme="minorHAnsi"/>
          <w:b/>
          <w:sz w:val="26"/>
          <w:szCs w:val="26"/>
          <w:lang w:val="en-GB"/>
        </w:rPr>
        <w:t>MARKETING AUTHORISATION HOLDER AND MANUFACURING SITE ADDRESS</w:t>
      </w:r>
    </w:p>
    <w:p w:rsidR="002B3DDF" w:rsidRPr="003D3E84" w:rsidRDefault="002B3DDF" w:rsidP="009576E3">
      <w:pPr>
        <w:pStyle w:val="ListParagraph"/>
        <w:numPr>
          <w:ilvl w:val="1"/>
          <w:numId w:val="12"/>
        </w:numPr>
        <w:spacing w:line="360" w:lineRule="auto"/>
        <w:ind w:left="0" w:firstLine="0"/>
        <w:rPr>
          <w:rFonts w:asciiTheme="minorHAnsi" w:hAnsiTheme="minorHAnsi"/>
          <w:b/>
          <w:sz w:val="26"/>
          <w:szCs w:val="26"/>
          <w:lang w:val="en-GB"/>
        </w:rPr>
      </w:pPr>
      <w:r w:rsidRPr="009576E3">
        <w:rPr>
          <w:rFonts w:asciiTheme="minorHAnsi" w:hAnsiTheme="minorHAnsi"/>
          <w:b/>
          <w:lang w:val="en-GB"/>
        </w:rPr>
        <w:t xml:space="preserve"> </w:t>
      </w:r>
      <w:r w:rsidRPr="003D3E84">
        <w:rPr>
          <w:rFonts w:asciiTheme="minorHAnsi" w:hAnsiTheme="minorHAnsi"/>
          <w:b/>
          <w:sz w:val="26"/>
          <w:szCs w:val="26"/>
          <w:lang w:val="en-GB"/>
        </w:rPr>
        <w:t>Marketing Authorisation Holder</w:t>
      </w:r>
    </w:p>
    <w:p w:rsidR="00B273A5" w:rsidRPr="00AE49F2" w:rsidRDefault="00B273A5" w:rsidP="003D3E84">
      <w:pPr>
        <w:pStyle w:val="ListParagraph"/>
        <w:spacing w:line="360" w:lineRule="auto"/>
        <w:ind w:left="0" w:firstLine="720"/>
        <w:rPr>
          <w:rFonts w:asciiTheme="minorHAnsi" w:hAnsiTheme="minorHAnsi"/>
          <w:lang w:val="nl-BE"/>
        </w:rPr>
      </w:pPr>
      <w:r w:rsidRPr="00AE49F2">
        <w:rPr>
          <w:rFonts w:asciiTheme="minorHAnsi" w:hAnsiTheme="minorHAnsi"/>
          <w:lang w:val="nl-BE"/>
        </w:rPr>
        <w:t>Dafra Phar</w:t>
      </w:r>
      <w:r w:rsidR="00141E6C" w:rsidRPr="00AE49F2">
        <w:rPr>
          <w:rFonts w:asciiTheme="minorHAnsi" w:hAnsiTheme="minorHAnsi"/>
          <w:lang w:val="nl-BE"/>
        </w:rPr>
        <w:t>ma GmbH, Mühlenberg 7, 4052 Basel, Switzerland.</w:t>
      </w:r>
    </w:p>
    <w:p w:rsidR="002B3DDF" w:rsidRDefault="002B3DDF" w:rsidP="009576E3">
      <w:pPr>
        <w:pStyle w:val="ListParagraph"/>
        <w:numPr>
          <w:ilvl w:val="1"/>
          <w:numId w:val="12"/>
        </w:numPr>
        <w:spacing w:line="360" w:lineRule="auto"/>
        <w:ind w:left="0" w:firstLine="0"/>
        <w:rPr>
          <w:rFonts w:asciiTheme="minorHAnsi" w:hAnsiTheme="minorHAnsi"/>
          <w:b/>
          <w:sz w:val="26"/>
          <w:szCs w:val="26"/>
          <w:lang w:val="en-GB"/>
        </w:rPr>
      </w:pPr>
      <w:r w:rsidRPr="003D3E84">
        <w:rPr>
          <w:rFonts w:asciiTheme="minorHAnsi" w:hAnsiTheme="minorHAnsi"/>
          <w:b/>
          <w:sz w:val="26"/>
          <w:szCs w:val="26"/>
          <w:lang w:val="en-GB"/>
        </w:rPr>
        <w:t>Manufacturer</w:t>
      </w:r>
    </w:p>
    <w:p w:rsidR="003D3E84" w:rsidRPr="003D3E84" w:rsidRDefault="003D3E84" w:rsidP="003D3E84">
      <w:pPr>
        <w:spacing w:after="120"/>
        <w:ind w:left="720"/>
        <w:rPr>
          <w:rFonts w:asciiTheme="minorHAnsi" w:hAnsiTheme="minorHAnsi"/>
        </w:rPr>
      </w:pPr>
      <w:r w:rsidRPr="003D3E84">
        <w:rPr>
          <w:rFonts w:asciiTheme="minorHAnsi" w:hAnsiTheme="minorHAnsi"/>
        </w:rPr>
        <w:t xml:space="preserve">ATABAY KİMYA SAN. </w:t>
      </w:r>
      <w:proofErr w:type="spellStart"/>
      <w:r w:rsidRPr="003D3E84">
        <w:rPr>
          <w:rFonts w:asciiTheme="minorHAnsi" w:hAnsiTheme="minorHAnsi"/>
        </w:rPr>
        <w:t>ve</w:t>
      </w:r>
      <w:proofErr w:type="spellEnd"/>
      <w:r w:rsidRPr="003D3E84">
        <w:rPr>
          <w:rFonts w:asciiTheme="minorHAnsi" w:hAnsiTheme="minorHAnsi"/>
        </w:rPr>
        <w:t xml:space="preserve"> TİC. A.Ş.</w:t>
      </w:r>
    </w:p>
    <w:p w:rsidR="003D3E84" w:rsidRPr="003D3E84" w:rsidRDefault="003D3E84" w:rsidP="003D3E84">
      <w:pPr>
        <w:spacing w:after="120"/>
        <w:ind w:left="720"/>
        <w:rPr>
          <w:rFonts w:asciiTheme="minorHAnsi" w:hAnsiTheme="minorHAnsi"/>
        </w:rPr>
      </w:pPr>
      <w:proofErr w:type="spellStart"/>
      <w:r w:rsidRPr="003D3E84">
        <w:rPr>
          <w:rFonts w:asciiTheme="minorHAnsi" w:hAnsiTheme="minorHAnsi"/>
        </w:rPr>
        <w:t>Dilovası</w:t>
      </w:r>
      <w:proofErr w:type="spellEnd"/>
      <w:r w:rsidRPr="003D3E84">
        <w:rPr>
          <w:rFonts w:asciiTheme="minorHAnsi" w:hAnsiTheme="minorHAnsi"/>
        </w:rPr>
        <w:t xml:space="preserve"> Organize </w:t>
      </w:r>
      <w:proofErr w:type="spellStart"/>
      <w:r w:rsidRPr="003D3E84">
        <w:rPr>
          <w:rFonts w:asciiTheme="minorHAnsi" w:hAnsiTheme="minorHAnsi"/>
        </w:rPr>
        <w:t>Sanayi</w:t>
      </w:r>
      <w:proofErr w:type="spellEnd"/>
      <w:r w:rsidRPr="003D3E84">
        <w:rPr>
          <w:rFonts w:asciiTheme="minorHAnsi" w:hAnsiTheme="minorHAnsi"/>
        </w:rPr>
        <w:t xml:space="preserve"> </w:t>
      </w:r>
      <w:proofErr w:type="spellStart"/>
      <w:r w:rsidRPr="003D3E84">
        <w:rPr>
          <w:rFonts w:asciiTheme="minorHAnsi" w:hAnsiTheme="minorHAnsi"/>
        </w:rPr>
        <w:t>Bölgesi</w:t>
      </w:r>
      <w:proofErr w:type="spellEnd"/>
      <w:r>
        <w:rPr>
          <w:rFonts w:asciiTheme="minorHAnsi" w:hAnsiTheme="minorHAnsi"/>
        </w:rPr>
        <w:t xml:space="preserve">, </w:t>
      </w:r>
      <w:r w:rsidRPr="003D3E84">
        <w:rPr>
          <w:rFonts w:asciiTheme="minorHAnsi" w:hAnsiTheme="minorHAnsi"/>
        </w:rPr>
        <w:t xml:space="preserve">4. </w:t>
      </w:r>
      <w:proofErr w:type="spellStart"/>
      <w:r w:rsidRPr="003D3E84">
        <w:rPr>
          <w:rFonts w:asciiTheme="minorHAnsi" w:hAnsiTheme="minorHAnsi"/>
        </w:rPr>
        <w:t>Kısım</w:t>
      </w:r>
      <w:proofErr w:type="spellEnd"/>
      <w:r w:rsidRPr="003D3E84">
        <w:rPr>
          <w:rFonts w:asciiTheme="minorHAnsi" w:hAnsiTheme="minorHAnsi"/>
        </w:rPr>
        <w:t xml:space="preserve"> </w:t>
      </w:r>
      <w:proofErr w:type="spellStart"/>
      <w:r w:rsidRPr="003D3E84">
        <w:rPr>
          <w:rFonts w:asciiTheme="minorHAnsi" w:hAnsiTheme="minorHAnsi"/>
        </w:rPr>
        <w:t>Sakarya</w:t>
      </w:r>
      <w:proofErr w:type="spellEnd"/>
      <w:r w:rsidRPr="003D3E84">
        <w:rPr>
          <w:rFonts w:asciiTheme="minorHAnsi" w:hAnsiTheme="minorHAnsi"/>
        </w:rPr>
        <w:t xml:space="preserve"> </w:t>
      </w:r>
      <w:proofErr w:type="spellStart"/>
      <w:r w:rsidRPr="003D3E84">
        <w:rPr>
          <w:rFonts w:asciiTheme="minorHAnsi" w:hAnsiTheme="minorHAnsi"/>
        </w:rPr>
        <w:t>Caddesi</w:t>
      </w:r>
      <w:proofErr w:type="spellEnd"/>
      <w:r w:rsidRPr="003D3E84">
        <w:rPr>
          <w:rFonts w:asciiTheme="minorHAnsi" w:hAnsiTheme="minorHAnsi"/>
        </w:rPr>
        <w:t xml:space="preserve"> No:28</w:t>
      </w:r>
      <w:r>
        <w:rPr>
          <w:rFonts w:asciiTheme="minorHAnsi" w:hAnsiTheme="minorHAnsi"/>
        </w:rPr>
        <w:t xml:space="preserve">, </w:t>
      </w:r>
      <w:proofErr w:type="spellStart"/>
      <w:r w:rsidRPr="003D3E84">
        <w:rPr>
          <w:rFonts w:asciiTheme="minorHAnsi" w:hAnsiTheme="minorHAnsi"/>
        </w:rPr>
        <w:t>Gebze</w:t>
      </w:r>
      <w:proofErr w:type="spellEnd"/>
      <w:r w:rsidRPr="003D3E84">
        <w:rPr>
          <w:rFonts w:asciiTheme="minorHAnsi" w:hAnsiTheme="minorHAnsi"/>
        </w:rPr>
        <w:t>/KOCAELİ</w:t>
      </w:r>
    </w:p>
    <w:p w:rsidR="003D3E84" w:rsidRPr="003D3E84" w:rsidRDefault="003D3E84" w:rsidP="003D3E84">
      <w:pPr>
        <w:spacing w:after="120"/>
        <w:ind w:left="720"/>
        <w:rPr>
          <w:rFonts w:asciiTheme="minorHAnsi" w:hAnsiTheme="minorHAnsi"/>
        </w:rPr>
      </w:pPr>
      <w:r w:rsidRPr="003D3E84">
        <w:rPr>
          <w:rFonts w:asciiTheme="minorHAnsi" w:hAnsiTheme="minorHAnsi"/>
        </w:rPr>
        <w:t>Turkey</w:t>
      </w:r>
    </w:p>
    <w:p w:rsidR="00AE30FE" w:rsidRPr="003D3E84" w:rsidRDefault="00AE30FE" w:rsidP="009576E3">
      <w:pPr>
        <w:pStyle w:val="ListParagraph"/>
        <w:numPr>
          <w:ilvl w:val="0"/>
          <w:numId w:val="12"/>
        </w:numPr>
        <w:spacing w:line="360" w:lineRule="auto"/>
        <w:ind w:left="0" w:firstLine="0"/>
        <w:rPr>
          <w:rFonts w:asciiTheme="minorHAnsi" w:hAnsiTheme="minorHAnsi"/>
          <w:b/>
          <w:sz w:val="26"/>
          <w:szCs w:val="26"/>
          <w:lang w:val="en-GB"/>
        </w:rPr>
      </w:pPr>
      <w:r w:rsidRPr="003D3E84">
        <w:rPr>
          <w:rFonts w:asciiTheme="minorHAnsi" w:hAnsiTheme="minorHAnsi"/>
          <w:b/>
          <w:sz w:val="26"/>
          <w:szCs w:val="26"/>
          <w:lang w:val="en-GB"/>
        </w:rPr>
        <w:t>MARKETING AUHORISATION NUMBER</w:t>
      </w:r>
    </w:p>
    <w:p w:rsidR="00553871" w:rsidRPr="009576E3" w:rsidRDefault="00553871" w:rsidP="003D3E84">
      <w:pPr>
        <w:pStyle w:val="ListParagraph"/>
        <w:spacing w:line="360" w:lineRule="auto"/>
        <w:ind w:left="0" w:firstLine="720"/>
        <w:rPr>
          <w:rFonts w:asciiTheme="minorHAnsi" w:hAnsiTheme="minorHAnsi"/>
          <w:lang w:val="en-GB"/>
        </w:rPr>
      </w:pPr>
      <w:r w:rsidRPr="009576E3">
        <w:rPr>
          <w:rFonts w:asciiTheme="minorHAnsi" w:hAnsiTheme="minorHAnsi"/>
          <w:lang w:val="en-GB"/>
        </w:rPr>
        <w:t>See list of MAs per country</w:t>
      </w:r>
    </w:p>
    <w:p w:rsidR="00EA7F33" w:rsidRPr="003D3E84" w:rsidRDefault="00EA7F33" w:rsidP="009576E3">
      <w:pPr>
        <w:pStyle w:val="ListParagraph"/>
        <w:numPr>
          <w:ilvl w:val="0"/>
          <w:numId w:val="12"/>
        </w:numPr>
        <w:spacing w:line="360" w:lineRule="auto"/>
        <w:ind w:left="0" w:firstLine="0"/>
        <w:rPr>
          <w:rFonts w:asciiTheme="minorHAnsi" w:hAnsiTheme="minorHAnsi"/>
          <w:b/>
          <w:sz w:val="26"/>
          <w:szCs w:val="26"/>
          <w:lang w:val="en-GB"/>
        </w:rPr>
      </w:pPr>
      <w:r w:rsidRPr="003D3E84">
        <w:rPr>
          <w:rFonts w:asciiTheme="minorHAnsi" w:hAnsiTheme="minorHAnsi"/>
          <w:b/>
          <w:sz w:val="26"/>
          <w:szCs w:val="26"/>
          <w:lang w:val="en-GB"/>
        </w:rPr>
        <w:t xml:space="preserve">DATE OF FIRST REGISTRATION </w:t>
      </w:r>
    </w:p>
    <w:p w:rsidR="00553871" w:rsidRPr="009576E3" w:rsidRDefault="00553871" w:rsidP="003D3E84">
      <w:pPr>
        <w:pStyle w:val="ListParagraph"/>
        <w:spacing w:line="360" w:lineRule="auto"/>
        <w:ind w:left="0" w:firstLine="720"/>
        <w:rPr>
          <w:rFonts w:asciiTheme="minorHAnsi" w:hAnsiTheme="minorHAnsi"/>
          <w:lang w:val="en-GB"/>
        </w:rPr>
      </w:pPr>
      <w:r w:rsidRPr="009576E3">
        <w:rPr>
          <w:rFonts w:asciiTheme="minorHAnsi" w:hAnsiTheme="minorHAnsi"/>
          <w:lang w:val="en-GB"/>
        </w:rPr>
        <w:t>See list of MAs per country</w:t>
      </w:r>
    </w:p>
    <w:p w:rsidR="00EA7F33" w:rsidRPr="003D3E84" w:rsidRDefault="00EA7F33" w:rsidP="009576E3">
      <w:pPr>
        <w:pStyle w:val="ListParagraph"/>
        <w:numPr>
          <w:ilvl w:val="0"/>
          <w:numId w:val="12"/>
        </w:numPr>
        <w:spacing w:line="360" w:lineRule="auto"/>
        <w:ind w:left="0" w:firstLine="0"/>
        <w:rPr>
          <w:rFonts w:asciiTheme="minorHAnsi" w:hAnsiTheme="minorHAnsi"/>
          <w:b/>
          <w:sz w:val="26"/>
          <w:szCs w:val="26"/>
          <w:lang w:val="en-GB"/>
        </w:rPr>
      </w:pPr>
      <w:r w:rsidRPr="003D3E84">
        <w:rPr>
          <w:rFonts w:asciiTheme="minorHAnsi" w:hAnsiTheme="minorHAnsi"/>
          <w:b/>
          <w:sz w:val="26"/>
          <w:szCs w:val="26"/>
          <w:lang w:val="en-GB"/>
        </w:rPr>
        <w:t>DATE OF REVISION OF TEXT</w:t>
      </w:r>
    </w:p>
    <w:p w:rsidR="003D3E84" w:rsidRDefault="003D3E84" w:rsidP="003D3E84">
      <w:pPr>
        <w:pStyle w:val="ListParagraph"/>
        <w:spacing w:line="360" w:lineRule="auto"/>
        <w:ind w:left="0" w:firstLine="720"/>
        <w:rPr>
          <w:rFonts w:asciiTheme="minorHAnsi" w:hAnsiTheme="minorHAnsi"/>
          <w:lang w:val="en-GB"/>
        </w:rPr>
      </w:pPr>
      <w:r>
        <w:rPr>
          <w:rFonts w:asciiTheme="minorHAnsi" w:hAnsiTheme="minorHAnsi"/>
          <w:lang w:val="en-GB"/>
        </w:rPr>
        <w:t>July 2020</w:t>
      </w:r>
      <w:bookmarkStart w:id="0" w:name="_GoBack"/>
      <w:bookmarkEnd w:id="0"/>
    </w:p>
    <w:p w:rsidR="00B273A5" w:rsidRPr="009576E3" w:rsidRDefault="00B273A5" w:rsidP="009576E3">
      <w:pPr>
        <w:pStyle w:val="ListParagraph"/>
        <w:spacing w:line="360" w:lineRule="auto"/>
        <w:ind w:left="0"/>
        <w:rPr>
          <w:rFonts w:asciiTheme="minorHAnsi" w:hAnsiTheme="minorHAnsi"/>
          <w:b/>
          <w:lang w:val="en-GB"/>
        </w:rPr>
      </w:pPr>
    </w:p>
    <w:sectPr w:rsidR="00B273A5" w:rsidRPr="009576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43" w:rsidRDefault="004F5243" w:rsidP="000A2791">
      <w:pPr>
        <w:spacing w:after="0" w:line="240" w:lineRule="auto"/>
      </w:pPr>
      <w:r>
        <w:separator/>
      </w:r>
    </w:p>
  </w:endnote>
  <w:endnote w:type="continuationSeparator" w:id="0">
    <w:p w:rsidR="004F5243" w:rsidRDefault="004F5243"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D4" w:rsidRPr="00386B72" w:rsidRDefault="0055268D" w:rsidP="007431D4">
    <w:pPr>
      <w:pStyle w:val="Footer"/>
      <w:pBdr>
        <w:top w:val="single" w:sz="4" w:space="1" w:color="auto"/>
      </w:pBdr>
      <w:rPr>
        <w:rFonts w:asciiTheme="minorHAnsi" w:hAnsiTheme="minorHAnsi" w:cstheme="minorHAnsi"/>
        <w:lang w:val="nl-NL"/>
      </w:rPr>
    </w:pPr>
    <w:r>
      <w:rPr>
        <w:rFonts w:asciiTheme="minorHAnsi" w:hAnsiTheme="minorHAnsi"/>
        <w:lang w:val="nl-NL"/>
      </w:rPr>
      <w:t>DP July</w:t>
    </w:r>
    <w:r w:rsidR="00386B72">
      <w:rPr>
        <w:rFonts w:asciiTheme="minorHAnsi" w:hAnsiTheme="minorHAnsi"/>
        <w:lang w:val="nl-NL"/>
      </w:rPr>
      <w:t xml:space="preserve"> 2020</w:t>
    </w:r>
    <w:r w:rsidR="007431D4" w:rsidRPr="00386B72">
      <w:rPr>
        <w:rFonts w:asciiTheme="minorHAnsi" w:hAnsiTheme="minorHAnsi" w:cstheme="minorHAnsi"/>
        <w:lang w:val="nl-NL"/>
      </w:rPr>
      <w:ptab w:relativeTo="margin" w:alignment="center" w:leader="none"/>
    </w:r>
    <w:r w:rsidR="007431D4" w:rsidRPr="00386B72">
      <w:rPr>
        <w:rFonts w:asciiTheme="minorHAnsi" w:hAnsiTheme="minorHAnsi" w:cstheme="minorHAnsi"/>
        <w:lang w:val="nl-NL"/>
      </w:rPr>
      <w:ptab w:relativeTo="margin" w:alignment="right" w:leader="none"/>
    </w:r>
    <w:r w:rsidR="007431D4" w:rsidRPr="00386B72">
      <w:rPr>
        <w:rFonts w:asciiTheme="minorHAnsi" w:hAnsiTheme="minorHAnsi" w:cstheme="minorHAnsi"/>
        <w:lang w:val="nl-NL"/>
      </w:rPr>
      <w:t xml:space="preserve">Page </w:t>
    </w:r>
    <w:r w:rsidR="007431D4" w:rsidRPr="00386B72">
      <w:rPr>
        <w:rFonts w:asciiTheme="minorHAnsi" w:hAnsiTheme="minorHAnsi" w:cstheme="minorHAnsi"/>
        <w:b/>
        <w:lang w:val="nl-NL"/>
      </w:rPr>
      <w:fldChar w:fldCharType="begin"/>
    </w:r>
    <w:r w:rsidR="007431D4" w:rsidRPr="00386B72">
      <w:rPr>
        <w:rFonts w:asciiTheme="minorHAnsi" w:hAnsiTheme="minorHAnsi" w:cstheme="minorHAnsi"/>
        <w:b/>
        <w:lang w:val="nl-NL"/>
      </w:rPr>
      <w:instrText>PAGE  \* Arabic  \* MERGEFORMAT</w:instrText>
    </w:r>
    <w:r w:rsidR="007431D4" w:rsidRPr="00386B72">
      <w:rPr>
        <w:rFonts w:asciiTheme="minorHAnsi" w:hAnsiTheme="minorHAnsi" w:cstheme="minorHAnsi"/>
        <w:b/>
        <w:lang w:val="nl-NL"/>
      </w:rPr>
      <w:fldChar w:fldCharType="separate"/>
    </w:r>
    <w:r w:rsidR="003D3E84">
      <w:rPr>
        <w:rFonts w:asciiTheme="minorHAnsi" w:hAnsiTheme="minorHAnsi" w:cstheme="minorHAnsi"/>
        <w:b/>
        <w:noProof/>
        <w:lang w:val="nl-NL"/>
      </w:rPr>
      <w:t>18</w:t>
    </w:r>
    <w:r w:rsidR="007431D4" w:rsidRPr="00386B72">
      <w:rPr>
        <w:rFonts w:asciiTheme="minorHAnsi" w:hAnsiTheme="minorHAnsi" w:cstheme="minorHAnsi"/>
        <w:b/>
        <w:lang w:val="nl-NL"/>
      </w:rPr>
      <w:fldChar w:fldCharType="end"/>
    </w:r>
    <w:r w:rsidR="007431D4" w:rsidRPr="00386B72">
      <w:rPr>
        <w:rFonts w:asciiTheme="minorHAnsi" w:hAnsiTheme="minorHAnsi" w:cstheme="minorHAnsi"/>
        <w:lang w:val="nl-NL"/>
      </w:rPr>
      <w:t xml:space="preserve"> of </w:t>
    </w:r>
    <w:r w:rsidR="007431D4" w:rsidRPr="00386B72">
      <w:rPr>
        <w:rFonts w:asciiTheme="minorHAnsi" w:hAnsiTheme="minorHAnsi" w:cstheme="minorHAnsi"/>
        <w:b/>
        <w:lang w:val="nl-NL"/>
      </w:rPr>
      <w:fldChar w:fldCharType="begin"/>
    </w:r>
    <w:r w:rsidR="007431D4" w:rsidRPr="00386B72">
      <w:rPr>
        <w:rFonts w:asciiTheme="minorHAnsi" w:hAnsiTheme="minorHAnsi" w:cstheme="minorHAnsi"/>
        <w:b/>
        <w:lang w:val="nl-NL"/>
      </w:rPr>
      <w:instrText>NUMPAGES  \* Arabic  \* MERGEFORMAT</w:instrText>
    </w:r>
    <w:r w:rsidR="007431D4" w:rsidRPr="00386B72">
      <w:rPr>
        <w:rFonts w:asciiTheme="minorHAnsi" w:hAnsiTheme="minorHAnsi" w:cstheme="minorHAnsi"/>
        <w:b/>
        <w:lang w:val="nl-NL"/>
      </w:rPr>
      <w:fldChar w:fldCharType="separate"/>
    </w:r>
    <w:r w:rsidR="003D3E84">
      <w:rPr>
        <w:rFonts w:asciiTheme="minorHAnsi" w:hAnsiTheme="minorHAnsi" w:cstheme="minorHAnsi"/>
        <w:b/>
        <w:noProof/>
        <w:lang w:val="nl-NL"/>
      </w:rPr>
      <w:t>19</w:t>
    </w:r>
    <w:r w:rsidR="007431D4" w:rsidRPr="00386B72">
      <w:rPr>
        <w:rFonts w:asciiTheme="minorHAnsi" w:hAnsiTheme="minorHAnsi" w:cstheme="minorHAnsi"/>
        <w:b/>
        <w:lang w:val="nl-NL"/>
      </w:rPr>
      <w:fldChar w:fldCharType="end"/>
    </w:r>
  </w:p>
  <w:p w:rsidR="008B1E32" w:rsidRPr="007431D4" w:rsidRDefault="008B1E32" w:rsidP="007431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43" w:rsidRDefault="004F5243" w:rsidP="000A2791">
      <w:pPr>
        <w:spacing w:after="0" w:line="240" w:lineRule="auto"/>
      </w:pPr>
      <w:r>
        <w:separator/>
      </w:r>
    </w:p>
  </w:footnote>
  <w:footnote w:type="continuationSeparator" w:id="0">
    <w:p w:rsidR="004F5243" w:rsidRDefault="004F5243"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D4" w:rsidRPr="00E644F5" w:rsidRDefault="007431D4" w:rsidP="007431D4">
    <w:pPr>
      <w:pStyle w:val="Header"/>
      <w:rPr>
        <w:rFonts w:asciiTheme="minorHAnsi" w:hAnsiTheme="minorHAnsi" w:cstheme="minorHAnsi"/>
        <w:u w:val="single"/>
      </w:rPr>
    </w:pPr>
    <w:proofErr w:type="spellStart"/>
    <w:r w:rsidRPr="00E644F5">
      <w:rPr>
        <w:rFonts w:asciiTheme="minorHAnsi" w:hAnsiTheme="minorHAnsi" w:cstheme="minorHAnsi"/>
        <w:sz w:val="22"/>
        <w:szCs w:val="22"/>
        <w:u w:val="single"/>
      </w:rPr>
      <w:t>Dafra</w:t>
    </w:r>
    <w:proofErr w:type="spellEnd"/>
    <w:r w:rsidRPr="00E644F5">
      <w:rPr>
        <w:rFonts w:asciiTheme="minorHAnsi" w:hAnsiTheme="minorHAnsi" w:cstheme="minorHAnsi"/>
        <w:sz w:val="22"/>
        <w:szCs w:val="22"/>
        <w:u w:val="single"/>
      </w:rPr>
      <w:t xml:space="preserve"> Pharma</w:t>
    </w:r>
    <w:r w:rsidRPr="00E644F5">
      <w:rPr>
        <w:rFonts w:asciiTheme="minorHAnsi" w:hAnsiTheme="minorHAnsi" w:cstheme="minorHAnsi"/>
        <w:sz w:val="22"/>
        <w:szCs w:val="22"/>
        <w:u w:val="single"/>
      </w:rPr>
      <w:ptab w:relativeTo="margin" w:alignment="center" w:leader="none"/>
    </w:r>
    <w:proofErr w:type="spellStart"/>
    <w:r w:rsidRPr="00E644F5">
      <w:rPr>
        <w:rFonts w:asciiTheme="minorHAnsi" w:hAnsiTheme="minorHAnsi" w:cstheme="minorHAnsi"/>
        <w:sz w:val="22"/>
        <w:szCs w:val="22"/>
        <w:u w:val="single"/>
      </w:rPr>
      <w:t>SmPC</w:t>
    </w:r>
    <w:proofErr w:type="spellEnd"/>
    <w:r w:rsidRPr="00E644F5">
      <w:rPr>
        <w:rFonts w:asciiTheme="minorHAnsi" w:hAnsiTheme="minorHAnsi" w:cstheme="minorHAnsi"/>
        <w:sz w:val="22"/>
        <w:szCs w:val="22"/>
        <w:u w:val="single"/>
      </w:rPr>
      <w:ptab w:relativeTo="margin" w:alignment="right" w:leader="none"/>
    </w:r>
    <w:r w:rsidRPr="00E644F5">
      <w:rPr>
        <w:rFonts w:asciiTheme="minorHAnsi" w:hAnsiTheme="minorHAnsi" w:cstheme="minorHAnsi"/>
        <w:u w:val="single"/>
      </w:rPr>
      <w:t xml:space="preserve"> </w:t>
    </w:r>
    <w:proofErr w:type="spellStart"/>
    <w:r w:rsidRPr="00E644F5">
      <w:rPr>
        <w:rFonts w:asciiTheme="minorHAnsi" w:hAnsiTheme="minorHAnsi" w:cstheme="minorHAnsi"/>
        <w:u w:val="single"/>
      </w:rPr>
      <w:t>Pedifen</w:t>
    </w:r>
    <w:proofErr w:type="spellEnd"/>
    <w:r w:rsidR="00E644F5">
      <w:rPr>
        <w:rFonts w:asciiTheme="minorHAnsi" w:hAnsiTheme="minorHAnsi" w:cstheme="minorHAnsi"/>
        <w:u w:val="single"/>
      </w:rPr>
      <w:t>® Pediatric suspension</w:t>
    </w:r>
    <w:r w:rsidRPr="00E644F5">
      <w:rPr>
        <w:rFonts w:asciiTheme="minorHAnsi" w:hAnsiTheme="minorHAnsi" w:cstheme="minorHAnsi"/>
        <w:u w:val="single"/>
      </w:rPr>
      <w:t xml:space="preserve"> </w:t>
    </w:r>
  </w:p>
  <w:p w:rsidR="007431D4" w:rsidRPr="008B1E32" w:rsidRDefault="007431D4" w:rsidP="007431D4">
    <w:pPr>
      <w:pStyle w:val="Header"/>
      <w:rPr>
        <w:rFonts w:asciiTheme="minorHAnsi" w:hAnsiTheme="minorHAnsi" w:cstheme="minorHAnsi"/>
        <w:sz w:val="22"/>
        <w:szCs w:val="22"/>
        <w:u w:val="single"/>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0D4"/>
    <w:multiLevelType w:val="hybridMultilevel"/>
    <w:tmpl w:val="13CE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40393"/>
    <w:multiLevelType w:val="hybridMultilevel"/>
    <w:tmpl w:val="8966A3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37680A"/>
    <w:multiLevelType w:val="hybridMultilevel"/>
    <w:tmpl w:val="3490C7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B266CD0"/>
    <w:multiLevelType w:val="multilevel"/>
    <w:tmpl w:val="0809001F"/>
    <w:lvl w:ilvl="0">
      <w:start w:val="1"/>
      <w:numFmt w:val="decimal"/>
      <w:lvlText w:val="%1."/>
      <w:lvlJc w:val="left"/>
      <w:pPr>
        <w:ind w:left="1635" w:hanging="360"/>
      </w:pPr>
    </w:lvl>
    <w:lvl w:ilvl="1">
      <w:start w:val="1"/>
      <w:numFmt w:val="decimal"/>
      <w:lvlText w:val="%1.%2."/>
      <w:lvlJc w:val="left"/>
      <w:pPr>
        <w:ind w:left="25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505846"/>
    <w:multiLevelType w:val="hybridMultilevel"/>
    <w:tmpl w:val="9208A84E"/>
    <w:lvl w:ilvl="0" w:tplc="48986FF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113B91"/>
    <w:multiLevelType w:val="hybridMultilevel"/>
    <w:tmpl w:val="C270F4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91D7F25"/>
    <w:multiLevelType w:val="hybridMultilevel"/>
    <w:tmpl w:val="166A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306B4"/>
    <w:multiLevelType w:val="hybridMultilevel"/>
    <w:tmpl w:val="C114D034"/>
    <w:lvl w:ilvl="0" w:tplc="48986FF4">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D9630A"/>
    <w:multiLevelType w:val="hybridMultilevel"/>
    <w:tmpl w:val="89B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22B4B"/>
    <w:multiLevelType w:val="hybridMultilevel"/>
    <w:tmpl w:val="400A1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4AC0F13"/>
    <w:multiLevelType w:val="hybridMultilevel"/>
    <w:tmpl w:val="15FA91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9195289"/>
    <w:multiLevelType w:val="hybridMultilevel"/>
    <w:tmpl w:val="547A1DE8"/>
    <w:lvl w:ilvl="0" w:tplc="48986FF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5897863"/>
    <w:multiLevelType w:val="multilevel"/>
    <w:tmpl w:val="10E46C12"/>
    <w:lvl w:ilvl="0">
      <w:start w:val="1"/>
      <w:numFmt w:val="decimal"/>
      <w:pStyle w:val="Heading1"/>
      <w:lvlText w:val="3.2.S.4.%1."/>
      <w:lvlJc w:val="left"/>
      <w:pPr>
        <w:tabs>
          <w:tab w:val="num" w:pos="716"/>
        </w:tabs>
        <w:ind w:left="716" w:hanging="432"/>
      </w:pPr>
      <w:rPr>
        <w:rFonts w:hint="default"/>
      </w:rPr>
    </w:lvl>
    <w:lvl w:ilvl="1">
      <w:start w:val="1"/>
      <w:numFmt w:val="decimal"/>
      <w:pStyle w:val="Heading2"/>
      <w:lvlText w:val="3.2.S.4.%1.%2"/>
      <w:lvlJc w:val="left"/>
      <w:pPr>
        <w:tabs>
          <w:tab w:val="num" w:pos="4687"/>
        </w:tabs>
        <w:ind w:left="4687" w:hanging="576"/>
      </w:pPr>
      <w:rPr>
        <w:rFonts w:hint="default"/>
      </w:rPr>
    </w:lvl>
    <w:lvl w:ilvl="2">
      <w:start w:val="1"/>
      <w:numFmt w:val="decimal"/>
      <w:pStyle w:val="Heading3"/>
      <w:lvlText w:val="3.2.S.4.%1.%2.%3"/>
      <w:lvlJc w:val="left"/>
      <w:pPr>
        <w:tabs>
          <w:tab w:val="num" w:pos="4831"/>
        </w:tabs>
        <w:ind w:left="4831" w:hanging="720"/>
      </w:pPr>
      <w:rPr>
        <w:rFonts w:hint="default"/>
      </w:rPr>
    </w:lvl>
    <w:lvl w:ilvl="3">
      <w:start w:val="1"/>
      <w:numFmt w:val="decimal"/>
      <w:pStyle w:val="Heading4"/>
      <w:lvlText w:val="3.2.S.4.%1.%2.%3.%4"/>
      <w:lvlJc w:val="left"/>
      <w:pPr>
        <w:tabs>
          <w:tab w:val="num" w:pos="4975"/>
        </w:tabs>
        <w:ind w:left="4975" w:hanging="864"/>
      </w:pPr>
      <w:rPr>
        <w:rFonts w:hint="default"/>
      </w:rPr>
    </w:lvl>
    <w:lvl w:ilvl="4">
      <w:start w:val="1"/>
      <w:numFmt w:val="decimal"/>
      <w:pStyle w:val="Heading5"/>
      <w:lvlText w:val="3.2.S.4.%1.%2.%3.%4.%5"/>
      <w:lvlJc w:val="left"/>
      <w:pPr>
        <w:tabs>
          <w:tab w:val="num" w:pos="5119"/>
        </w:tabs>
        <w:ind w:left="5119" w:hanging="1008"/>
      </w:pPr>
      <w:rPr>
        <w:rFonts w:hint="default"/>
      </w:rPr>
    </w:lvl>
    <w:lvl w:ilvl="5">
      <w:start w:val="1"/>
      <w:numFmt w:val="decimal"/>
      <w:pStyle w:val="Heading6"/>
      <w:lvlText w:val="3.2.S.4.%1.%2.%3.%4.%5.%6"/>
      <w:lvlJc w:val="left"/>
      <w:pPr>
        <w:tabs>
          <w:tab w:val="num" w:pos="5263"/>
        </w:tabs>
        <w:ind w:left="5263" w:hanging="1152"/>
      </w:pPr>
      <w:rPr>
        <w:rFonts w:hint="default"/>
      </w:rPr>
    </w:lvl>
    <w:lvl w:ilvl="6">
      <w:start w:val="1"/>
      <w:numFmt w:val="decimal"/>
      <w:pStyle w:val="Heading7"/>
      <w:lvlText w:val="3.2.S.4.%1.%2.%3.%4.%5.%6.%7"/>
      <w:lvlJc w:val="left"/>
      <w:pPr>
        <w:tabs>
          <w:tab w:val="num" w:pos="5407"/>
        </w:tabs>
        <w:ind w:left="5407" w:hanging="1296"/>
      </w:pPr>
      <w:rPr>
        <w:rFonts w:hint="default"/>
      </w:rPr>
    </w:lvl>
    <w:lvl w:ilvl="7">
      <w:start w:val="1"/>
      <w:numFmt w:val="decimal"/>
      <w:pStyle w:val="Heading8"/>
      <w:lvlText w:val="3.2.S.4.%1.%2.%3.%4.%5.%6.%7.%8"/>
      <w:lvlJc w:val="left"/>
      <w:pPr>
        <w:tabs>
          <w:tab w:val="num" w:pos="5551"/>
        </w:tabs>
        <w:ind w:left="5551" w:hanging="1440"/>
      </w:pPr>
      <w:rPr>
        <w:rFonts w:hint="default"/>
      </w:rPr>
    </w:lvl>
    <w:lvl w:ilvl="8">
      <w:start w:val="1"/>
      <w:numFmt w:val="decimal"/>
      <w:pStyle w:val="Heading9"/>
      <w:lvlText w:val="3.2.S.4.%1.%2.%3.%4.%5.%6.%7.%8.%9"/>
      <w:lvlJc w:val="left"/>
      <w:pPr>
        <w:tabs>
          <w:tab w:val="num" w:pos="5695"/>
        </w:tabs>
        <w:ind w:left="5695" w:hanging="1584"/>
      </w:pPr>
      <w:rPr>
        <w:rFonts w:hint="default"/>
      </w:rPr>
    </w:lvl>
  </w:abstractNum>
  <w:abstractNum w:abstractNumId="15" w15:restartNumberingAfterBreak="0">
    <w:nsid w:val="70DF6C99"/>
    <w:multiLevelType w:val="hybridMultilevel"/>
    <w:tmpl w:val="0324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E7476"/>
    <w:multiLevelType w:val="hybridMultilevel"/>
    <w:tmpl w:val="4D7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0"/>
  </w:num>
  <w:num w:numId="12">
    <w:abstractNumId w:val="3"/>
  </w:num>
  <w:num w:numId="13">
    <w:abstractNumId w:val="0"/>
  </w:num>
  <w:num w:numId="14">
    <w:abstractNumId w:val="12"/>
  </w:num>
  <w:num w:numId="15">
    <w:abstractNumId w:val="7"/>
  </w:num>
  <w:num w:numId="16">
    <w:abstractNumId w:val="4"/>
  </w:num>
  <w:num w:numId="17">
    <w:abstractNumId w:val="6"/>
  </w:num>
  <w:num w:numId="18">
    <w:abstractNumId w:val="16"/>
  </w:num>
  <w:num w:numId="19">
    <w:abstractNumId w:val="15"/>
  </w:num>
  <w:num w:numId="20">
    <w:abstractNumId w:val="1"/>
  </w:num>
  <w:num w:numId="21">
    <w:abstractNumId w:val="5"/>
  </w:num>
  <w:num w:numId="22">
    <w:abstractNumId w:val="2"/>
  </w:num>
  <w:num w:numId="23">
    <w:abstractNumId w:val="9"/>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D4"/>
    <w:rsid w:val="000A2791"/>
    <w:rsid w:val="000C7AD4"/>
    <w:rsid w:val="000D5FDD"/>
    <w:rsid w:val="001122FF"/>
    <w:rsid w:val="0011316A"/>
    <w:rsid w:val="00123BC7"/>
    <w:rsid w:val="00141E6C"/>
    <w:rsid w:val="00145F89"/>
    <w:rsid w:val="00155C90"/>
    <w:rsid w:val="001711DC"/>
    <w:rsid w:val="00187C99"/>
    <w:rsid w:val="001E301C"/>
    <w:rsid w:val="00224946"/>
    <w:rsid w:val="00236122"/>
    <w:rsid w:val="002402A1"/>
    <w:rsid w:val="002B3DDF"/>
    <w:rsid w:val="002F3679"/>
    <w:rsid w:val="002F4CF3"/>
    <w:rsid w:val="00330279"/>
    <w:rsid w:val="00386B72"/>
    <w:rsid w:val="003C3D4A"/>
    <w:rsid w:val="003D3E84"/>
    <w:rsid w:val="00422D72"/>
    <w:rsid w:val="004378F7"/>
    <w:rsid w:val="004453F0"/>
    <w:rsid w:val="004B2856"/>
    <w:rsid w:val="004F5243"/>
    <w:rsid w:val="00507012"/>
    <w:rsid w:val="00524865"/>
    <w:rsid w:val="005340F7"/>
    <w:rsid w:val="0055268D"/>
    <w:rsid w:val="00553871"/>
    <w:rsid w:val="00555E04"/>
    <w:rsid w:val="00572992"/>
    <w:rsid w:val="005D64A6"/>
    <w:rsid w:val="00611F46"/>
    <w:rsid w:val="006304AB"/>
    <w:rsid w:val="00651863"/>
    <w:rsid w:val="006E77E6"/>
    <w:rsid w:val="00740162"/>
    <w:rsid w:val="007431D4"/>
    <w:rsid w:val="00786242"/>
    <w:rsid w:val="00792744"/>
    <w:rsid w:val="007970DD"/>
    <w:rsid w:val="008441FE"/>
    <w:rsid w:val="0084456A"/>
    <w:rsid w:val="00864BAF"/>
    <w:rsid w:val="008755EA"/>
    <w:rsid w:val="008B1E32"/>
    <w:rsid w:val="008C7097"/>
    <w:rsid w:val="00922123"/>
    <w:rsid w:val="0092399B"/>
    <w:rsid w:val="009305C9"/>
    <w:rsid w:val="009326DD"/>
    <w:rsid w:val="009576E3"/>
    <w:rsid w:val="00987E49"/>
    <w:rsid w:val="009F5430"/>
    <w:rsid w:val="00AE30FE"/>
    <w:rsid w:val="00AE49F2"/>
    <w:rsid w:val="00B11445"/>
    <w:rsid w:val="00B17706"/>
    <w:rsid w:val="00B273A5"/>
    <w:rsid w:val="00B3775E"/>
    <w:rsid w:val="00B74593"/>
    <w:rsid w:val="00B94E55"/>
    <w:rsid w:val="00BF1DCE"/>
    <w:rsid w:val="00C21ABA"/>
    <w:rsid w:val="00C3084B"/>
    <w:rsid w:val="00CA6F14"/>
    <w:rsid w:val="00D52D13"/>
    <w:rsid w:val="00D95597"/>
    <w:rsid w:val="00DC4881"/>
    <w:rsid w:val="00DF03CE"/>
    <w:rsid w:val="00DF29E6"/>
    <w:rsid w:val="00E23871"/>
    <w:rsid w:val="00E542FA"/>
    <w:rsid w:val="00E566C2"/>
    <w:rsid w:val="00E62336"/>
    <w:rsid w:val="00E644F5"/>
    <w:rsid w:val="00E85B74"/>
    <w:rsid w:val="00EA7F33"/>
    <w:rsid w:val="00EC5266"/>
    <w:rsid w:val="00F06E22"/>
    <w:rsid w:val="00F31128"/>
    <w:rsid w:val="00F31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4445F"/>
  <w15:docId w15:val="{E12DDD1B-5EF5-490E-BC86-B547086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48F"/>
    <w:pPr>
      <w:spacing w:after="240" w:line="300" w:lineRule="auto"/>
    </w:pPr>
    <w:rPr>
      <w:kern w:val="24"/>
      <w:sz w:val="24"/>
      <w:szCs w:val="24"/>
      <w:lang w:val="en-US" w:eastAsia="ja-JP"/>
    </w:rPr>
  </w:style>
  <w:style w:type="paragraph" w:styleId="Heading1">
    <w:name w:val="heading 1"/>
    <w:basedOn w:val="Normal"/>
    <w:next w:val="Normal"/>
    <w:link w:val="Heading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Heading2">
    <w:name w:val="heading 2"/>
    <w:basedOn w:val="Heading1"/>
    <w:next w:val="Normal"/>
    <w:link w:val="Heading2Char"/>
    <w:qFormat/>
    <w:rsid w:val="00F3148F"/>
    <w:pPr>
      <w:numPr>
        <w:ilvl w:val="1"/>
      </w:numPr>
      <w:tabs>
        <w:tab w:val="clear" w:pos="1152"/>
        <w:tab w:val="left" w:pos="1404"/>
      </w:tabs>
      <w:outlineLvl w:val="1"/>
    </w:pPr>
  </w:style>
  <w:style w:type="paragraph" w:styleId="Heading3">
    <w:name w:val="heading 3"/>
    <w:basedOn w:val="Heading1"/>
    <w:next w:val="Normal"/>
    <w:link w:val="Heading3Char"/>
    <w:qFormat/>
    <w:rsid w:val="00F3148F"/>
    <w:pPr>
      <w:numPr>
        <w:ilvl w:val="2"/>
      </w:numPr>
      <w:tabs>
        <w:tab w:val="clear" w:pos="1152"/>
        <w:tab w:val="left" w:pos="1642"/>
      </w:tabs>
      <w:outlineLvl w:val="2"/>
    </w:pPr>
  </w:style>
  <w:style w:type="paragraph" w:styleId="Heading4">
    <w:name w:val="heading 4"/>
    <w:basedOn w:val="Heading1"/>
    <w:next w:val="Normal"/>
    <w:link w:val="Heading4Char"/>
    <w:qFormat/>
    <w:rsid w:val="00F3148F"/>
    <w:pPr>
      <w:numPr>
        <w:ilvl w:val="3"/>
      </w:numPr>
      <w:tabs>
        <w:tab w:val="clear" w:pos="1152"/>
        <w:tab w:val="left" w:pos="1865"/>
      </w:tabs>
      <w:outlineLvl w:val="3"/>
    </w:pPr>
  </w:style>
  <w:style w:type="paragraph" w:styleId="Heading5">
    <w:name w:val="heading 5"/>
    <w:basedOn w:val="Heading1"/>
    <w:next w:val="Normal"/>
    <w:link w:val="Heading5Char"/>
    <w:qFormat/>
    <w:rsid w:val="00F3148F"/>
    <w:pPr>
      <w:numPr>
        <w:ilvl w:val="4"/>
      </w:numPr>
      <w:tabs>
        <w:tab w:val="clear" w:pos="1152"/>
        <w:tab w:val="left" w:pos="2074"/>
      </w:tabs>
      <w:outlineLvl w:val="4"/>
    </w:pPr>
  </w:style>
  <w:style w:type="paragraph" w:styleId="Heading6">
    <w:name w:val="heading 6"/>
    <w:basedOn w:val="Heading1"/>
    <w:next w:val="Normal"/>
    <w:link w:val="Heading6Char"/>
    <w:qFormat/>
    <w:rsid w:val="00F3148F"/>
    <w:pPr>
      <w:numPr>
        <w:ilvl w:val="5"/>
      </w:numPr>
      <w:tabs>
        <w:tab w:val="clear" w:pos="1152"/>
        <w:tab w:val="left" w:pos="2268"/>
      </w:tabs>
      <w:outlineLvl w:val="5"/>
    </w:pPr>
  </w:style>
  <w:style w:type="paragraph" w:styleId="Heading7">
    <w:name w:val="heading 7"/>
    <w:basedOn w:val="Heading1"/>
    <w:next w:val="Normal"/>
    <w:link w:val="Heading7Char"/>
    <w:qFormat/>
    <w:rsid w:val="00F3148F"/>
    <w:pPr>
      <w:numPr>
        <w:ilvl w:val="6"/>
      </w:numPr>
      <w:tabs>
        <w:tab w:val="clear" w:pos="1152"/>
        <w:tab w:val="left" w:pos="2448"/>
      </w:tabs>
      <w:outlineLvl w:val="6"/>
    </w:pPr>
  </w:style>
  <w:style w:type="paragraph" w:styleId="Heading8">
    <w:name w:val="heading 8"/>
    <w:basedOn w:val="Heading1"/>
    <w:next w:val="Normal"/>
    <w:link w:val="Heading8Char"/>
    <w:qFormat/>
    <w:rsid w:val="00F3148F"/>
    <w:pPr>
      <w:numPr>
        <w:ilvl w:val="7"/>
      </w:numPr>
      <w:tabs>
        <w:tab w:val="clear" w:pos="1152"/>
        <w:tab w:val="left" w:pos="2614"/>
      </w:tabs>
      <w:outlineLvl w:val="7"/>
    </w:pPr>
  </w:style>
  <w:style w:type="paragraph" w:styleId="Heading9">
    <w:name w:val="heading 9"/>
    <w:basedOn w:val="Heading1"/>
    <w:next w:val="Normal"/>
    <w:link w:val="Heading9Char"/>
    <w:qFormat/>
    <w:rsid w:val="00F3148F"/>
    <w:pPr>
      <w:numPr>
        <w:ilvl w:val="8"/>
      </w:numPr>
      <w:tabs>
        <w:tab w:val="clear" w:pos="1152"/>
        <w:tab w:val="left" w:pos="27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ijl1">
    <w:name w:val="Stijl1"/>
    <w:uiPriority w:val="99"/>
    <w:rsid w:val="00987E49"/>
    <w:pPr>
      <w:numPr>
        <w:numId w:val="1"/>
      </w:numPr>
    </w:pPr>
  </w:style>
  <w:style w:type="character" w:customStyle="1" w:styleId="Heading1Char">
    <w:name w:val="Heading 1 Char"/>
    <w:basedOn w:val="DefaultParagraphFont"/>
    <w:link w:val="Heading1"/>
    <w:rsid w:val="00F3148F"/>
    <w:rPr>
      <w:rFonts w:eastAsia="Times New Roman"/>
      <w:b/>
      <w:kern w:val="28"/>
      <w:sz w:val="28"/>
      <w:szCs w:val="28"/>
      <w:lang w:val="en-US" w:eastAsia="ja-JP"/>
    </w:rPr>
  </w:style>
  <w:style w:type="character" w:customStyle="1" w:styleId="Heading2Char">
    <w:name w:val="Heading 2 Char"/>
    <w:basedOn w:val="DefaultParagraphFont"/>
    <w:link w:val="Heading2"/>
    <w:rsid w:val="00F3148F"/>
    <w:rPr>
      <w:rFonts w:eastAsia="Times New Roman"/>
      <w:b/>
      <w:kern w:val="28"/>
      <w:sz w:val="28"/>
      <w:szCs w:val="28"/>
      <w:lang w:val="en-US" w:eastAsia="ja-JP"/>
    </w:rPr>
  </w:style>
  <w:style w:type="character" w:customStyle="1" w:styleId="Heading3Char">
    <w:name w:val="Heading 3 Char"/>
    <w:basedOn w:val="DefaultParagraphFont"/>
    <w:link w:val="Heading3"/>
    <w:rsid w:val="00F3148F"/>
    <w:rPr>
      <w:rFonts w:eastAsia="Times New Roman"/>
      <w:b/>
      <w:kern w:val="28"/>
      <w:sz w:val="28"/>
      <w:szCs w:val="28"/>
      <w:lang w:val="en-US" w:eastAsia="ja-JP"/>
    </w:rPr>
  </w:style>
  <w:style w:type="character" w:customStyle="1" w:styleId="Heading4Char">
    <w:name w:val="Heading 4 Char"/>
    <w:basedOn w:val="DefaultParagraphFont"/>
    <w:link w:val="Heading4"/>
    <w:rsid w:val="00F3148F"/>
    <w:rPr>
      <w:rFonts w:eastAsia="Times New Roman"/>
      <w:b/>
      <w:kern w:val="28"/>
      <w:sz w:val="28"/>
      <w:szCs w:val="28"/>
      <w:lang w:val="en-US" w:eastAsia="ja-JP"/>
    </w:rPr>
  </w:style>
  <w:style w:type="character" w:customStyle="1" w:styleId="Heading5Char">
    <w:name w:val="Heading 5 Char"/>
    <w:basedOn w:val="DefaultParagraphFont"/>
    <w:link w:val="Heading5"/>
    <w:rsid w:val="00F3148F"/>
    <w:rPr>
      <w:rFonts w:eastAsia="Times New Roman"/>
      <w:b/>
      <w:kern w:val="28"/>
      <w:sz w:val="28"/>
      <w:szCs w:val="28"/>
      <w:lang w:val="en-US" w:eastAsia="ja-JP"/>
    </w:rPr>
  </w:style>
  <w:style w:type="character" w:customStyle="1" w:styleId="Heading6Char">
    <w:name w:val="Heading 6 Char"/>
    <w:basedOn w:val="DefaultParagraphFont"/>
    <w:link w:val="Heading6"/>
    <w:rsid w:val="00F3148F"/>
    <w:rPr>
      <w:rFonts w:eastAsia="Times New Roman"/>
      <w:b/>
      <w:kern w:val="28"/>
      <w:sz w:val="28"/>
      <w:szCs w:val="28"/>
      <w:lang w:val="en-US" w:eastAsia="ja-JP"/>
    </w:rPr>
  </w:style>
  <w:style w:type="character" w:customStyle="1" w:styleId="Heading7Char">
    <w:name w:val="Heading 7 Char"/>
    <w:basedOn w:val="DefaultParagraphFont"/>
    <w:link w:val="Heading7"/>
    <w:rsid w:val="00F3148F"/>
    <w:rPr>
      <w:rFonts w:eastAsia="Times New Roman"/>
      <w:b/>
      <w:kern w:val="28"/>
      <w:sz w:val="28"/>
      <w:szCs w:val="28"/>
      <w:lang w:val="en-US" w:eastAsia="ja-JP"/>
    </w:rPr>
  </w:style>
  <w:style w:type="character" w:customStyle="1" w:styleId="Heading8Char">
    <w:name w:val="Heading 8 Char"/>
    <w:basedOn w:val="DefaultParagraphFont"/>
    <w:link w:val="Heading8"/>
    <w:rsid w:val="00F3148F"/>
    <w:rPr>
      <w:rFonts w:eastAsia="Times New Roman"/>
      <w:b/>
      <w:kern w:val="28"/>
      <w:sz w:val="28"/>
      <w:szCs w:val="28"/>
      <w:lang w:val="en-US" w:eastAsia="ja-JP"/>
    </w:rPr>
  </w:style>
  <w:style w:type="character" w:customStyle="1" w:styleId="Heading9Char">
    <w:name w:val="Heading 9 Char"/>
    <w:basedOn w:val="DefaultParagraphFont"/>
    <w:link w:val="Heading9"/>
    <w:rsid w:val="00F3148F"/>
    <w:rPr>
      <w:rFonts w:eastAsia="Times New Roman"/>
      <w:b/>
      <w:kern w:val="28"/>
      <w:sz w:val="28"/>
      <w:szCs w:val="28"/>
      <w:lang w:val="en-US" w:eastAsia="ja-JP"/>
    </w:rPr>
  </w:style>
  <w:style w:type="paragraph" w:styleId="Caption">
    <w:name w:val="caption"/>
    <w:basedOn w:val="Normal"/>
    <w:next w:val="Normal"/>
    <w:qFormat/>
    <w:rsid w:val="00F3148F"/>
    <w:pPr>
      <w:keepNext/>
      <w:spacing w:before="240" w:after="120" w:line="240" w:lineRule="auto"/>
      <w:ind w:left="2160" w:hanging="2160"/>
    </w:pPr>
    <w:rPr>
      <w:rFonts w:eastAsia="Times New Roman"/>
      <w:b/>
      <w:bCs/>
      <w:szCs w:val="20"/>
    </w:rPr>
  </w:style>
  <w:style w:type="paragraph" w:styleId="Title">
    <w:name w:val="Title"/>
    <w:basedOn w:val="Normal"/>
    <w:next w:val="Normal"/>
    <w:link w:val="Title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leChar">
    <w:name w:val="Title Char"/>
    <w:basedOn w:val="DefaultParagraphFont"/>
    <w:link w:val="Title"/>
    <w:rsid w:val="00F3148F"/>
    <w:rPr>
      <w:rFonts w:ascii="Times New Roman Bold" w:eastAsia="Times New Roman" w:hAnsi="Times New Roman Bold" w:cs="Arial"/>
      <w:b/>
      <w:bCs/>
      <w:kern w:val="28"/>
      <w:sz w:val="28"/>
      <w:szCs w:val="28"/>
      <w:lang w:val="en-US" w:eastAsia="ja-JP"/>
    </w:rPr>
  </w:style>
  <w:style w:type="paragraph" w:styleId="BodyText">
    <w:name w:val="Body Text"/>
    <w:basedOn w:val="Normal"/>
    <w:link w:val="BodyTex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BodyTextChar">
    <w:name w:val="Body Text Char"/>
    <w:basedOn w:val="DefaultParagraphFont"/>
    <w:link w:val="BodyText"/>
    <w:uiPriority w:val="1"/>
    <w:rsid w:val="00F3148F"/>
    <w:rPr>
      <w:rFonts w:eastAsia="Times New Roman" w:cstheme="minorBidi"/>
      <w:sz w:val="24"/>
      <w:szCs w:val="24"/>
      <w:lang w:val="en-US"/>
    </w:rPr>
  </w:style>
  <w:style w:type="paragraph" w:styleId="ListParagraph">
    <w:name w:val="List Paragraph"/>
    <w:basedOn w:val="Normal"/>
    <w:uiPriority w:val="34"/>
    <w:qFormat/>
    <w:rsid w:val="00F3148F"/>
    <w:pPr>
      <w:ind w:left="720"/>
      <w:contextualSpacing/>
    </w:pPr>
    <w:rPr>
      <w:rFonts w:eastAsia="Times New Roman"/>
    </w:rPr>
  </w:style>
  <w:style w:type="paragraph" w:styleId="Header">
    <w:name w:val="header"/>
    <w:basedOn w:val="Normal"/>
    <w:link w:val="HeaderChar"/>
    <w:unhideWhenUsed/>
    <w:rsid w:val="000A2791"/>
    <w:pPr>
      <w:tabs>
        <w:tab w:val="center" w:pos="4536"/>
        <w:tab w:val="right" w:pos="9072"/>
      </w:tabs>
      <w:spacing w:after="0" w:line="240" w:lineRule="auto"/>
    </w:pPr>
  </w:style>
  <w:style w:type="character" w:customStyle="1" w:styleId="HeaderChar">
    <w:name w:val="Header Char"/>
    <w:basedOn w:val="DefaultParagraphFont"/>
    <w:link w:val="Header"/>
    <w:rsid w:val="000A2791"/>
    <w:rPr>
      <w:kern w:val="24"/>
      <w:sz w:val="24"/>
      <w:szCs w:val="24"/>
      <w:lang w:val="en-US" w:eastAsia="ja-JP"/>
    </w:rPr>
  </w:style>
  <w:style w:type="paragraph" w:styleId="Footer">
    <w:name w:val="footer"/>
    <w:basedOn w:val="Normal"/>
    <w:link w:val="FooterChar"/>
    <w:uiPriority w:val="99"/>
    <w:unhideWhenUsed/>
    <w:rsid w:val="000A27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2791"/>
    <w:rPr>
      <w:kern w:val="24"/>
      <w:sz w:val="24"/>
      <w:szCs w:val="24"/>
      <w:lang w:val="en-US" w:eastAsia="ja-JP"/>
    </w:rPr>
  </w:style>
  <w:style w:type="character" w:styleId="PlaceholderText">
    <w:name w:val="Placeholder Text"/>
    <w:basedOn w:val="DefaultParagraphFont"/>
    <w:uiPriority w:val="99"/>
    <w:semiHidden/>
    <w:rsid w:val="0011316A"/>
    <w:rPr>
      <w:color w:val="808080"/>
    </w:rPr>
  </w:style>
  <w:style w:type="paragraph" w:styleId="BalloonText">
    <w:name w:val="Balloon Text"/>
    <w:basedOn w:val="Normal"/>
    <w:link w:val="BalloonTextChar"/>
    <w:uiPriority w:val="99"/>
    <w:semiHidden/>
    <w:unhideWhenUsed/>
    <w:rsid w:val="0011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6A"/>
    <w:rPr>
      <w:rFonts w:ascii="Tahoma" w:hAnsi="Tahoma" w:cs="Tahoma"/>
      <w:kern w:val="24"/>
      <w:sz w:val="16"/>
      <w:szCs w:val="16"/>
      <w:lang w:val="en-US" w:eastAsia="ja-JP"/>
    </w:rPr>
  </w:style>
  <w:style w:type="table" w:styleId="TableGrid">
    <w:name w:val="Table Grid"/>
    <w:basedOn w:val="TableNormal"/>
    <w:uiPriority w:val="39"/>
    <w:rsid w:val="00155C90"/>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51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91089">
      <w:bodyDiv w:val="1"/>
      <w:marLeft w:val="0"/>
      <w:marRight w:val="0"/>
      <w:marTop w:val="0"/>
      <w:marBottom w:val="0"/>
      <w:divBdr>
        <w:top w:val="none" w:sz="0" w:space="0" w:color="auto"/>
        <w:left w:val="none" w:sz="0" w:space="0" w:color="auto"/>
        <w:bottom w:val="none" w:sz="0" w:space="0" w:color="auto"/>
        <w:right w:val="none" w:sz="0" w:space="0" w:color="auto"/>
      </w:divBdr>
      <w:divsChild>
        <w:div w:id="2108694835">
          <w:marLeft w:val="0"/>
          <w:marRight w:val="0"/>
          <w:marTop w:val="0"/>
          <w:marBottom w:val="0"/>
          <w:divBdr>
            <w:top w:val="none" w:sz="0" w:space="0" w:color="auto"/>
            <w:left w:val="none" w:sz="0" w:space="0" w:color="auto"/>
            <w:bottom w:val="none" w:sz="0" w:space="0" w:color="auto"/>
            <w:right w:val="none" w:sz="0" w:space="0" w:color="auto"/>
          </w:divBdr>
          <w:divsChild>
            <w:div w:id="49378369">
              <w:marLeft w:val="0"/>
              <w:marRight w:val="0"/>
              <w:marTop w:val="0"/>
              <w:marBottom w:val="0"/>
              <w:divBdr>
                <w:top w:val="none" w:sz="0" w:space="0" w:color="auto"/>
                <w:left w:val="none" w:sz="0" w:space="0" w:color="auto"/>
                <w:bottom w:val="none" w:sz="0" w:space="0" w:color="auto"/>
                <w:right w:val="none" w:sz="0" w:space="0" w:color="auto"/>
              </w:divBdr>
              <w:divsChild>
                <w:div w:id="1856575009">
                  <w:marLeft w:val="0"/>
                  <w:marRight w:val="0"/>
                  <w:marTop w:val="0"/>
                  <w:marBottom w:val="0"/>
                  <w:divBdr>
                    <w:top w:val="none" w:sz="0" w:space="0" w:color="auto"/>
                    <w:left w:val="none" w:sz="0" w:space="0" w:color="auto"/>
                    <w:bottom w:val="none" w:sz="0" w:space="0" w:color="auto"/>
                    <w:right w:val="none" w:sz="0" w:space="0" w:color="auto"/>
                  </w:divBdr>
                  <w:divsChild>
                    <w:div w:id="1608736657">
                      <w:marLeft w:val="0"/>
                      <w:marRight w:val="0"/>
                      <w:marTop w:val="0"/>
                      <w:marBottom w:val="0"/>
                      <w:divBdr>
                        <w:top w:val="none" w:sz="0" w:space="0" w:color="auto"/>
                        <w:left w:val="none" w:sz="0" w:space="0" w:color="auto"/>
                        <w:bottom w:val="none" w:sz="0" w:space="0" w:color="auto"/>
                        <w:right w:val="none" w:sz="0" w:space="0" w:color="auto"/>
                      </w:divBdr>
                      <w:divsChild>
                        <w:div w:id="1575702623">
                          <w:marLeft w:val="0"/>
                          <w:marRight w:val="0"/>
                          <w:marTop w:val="0"/>
                          <w:marBottom w:val="0"/>
                          <w:divBdr>
                            <w:top w:val="none" w:sz="0" w:space="0" w:color="auto"/>
                            <w:left w:val="none" w:sz="0" w:space="0" w:color="auto"/>
                            <w:bottom w:val="none" w:sz="0" w:space="0" w:color="auto"/>
                            <w:right w:val="none" w:sz="0" w:space="0" w:color="auto"/>
                          </w:divBdr>
                          <w:divsChild>
                            <w:div w:id="1384136043">
                              <w:marLeft w:val="0"/>
                              <w:marRight w:val="300"/>
                              <w:marTop w:val="180"/>
                              <w:marBottom w:val="0"/>
                              <w:divBdr>
                                <w:top w:val="none" w:sz="0" w:space="0" w:color="auto"/>
                                <w:left w:val="none" w:sz="0" w:space="0" w:color="auto"/>
                                <w:bottom w:val="none" w:sz="0" w:space="0" w:color="auto"/>
                                <w:right w:val="none" w:sz="0" w:space="0" w:color="auto"/>
                              </w:divBdr>
                              <w:divsChild>
                                <w:div w:id="18963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1512">
          <w:marLeft w:val="0"/>
          <w:marRight w:val="0"/>
          <w:marTop w:val="0"/>
          <w:marBottom w:val="0"/>
          <w:divBdr>
            <w:top w:val="none" w:sz="0" w:space="0" w:color="auto"/>
            <w:left w:val="none" w:sz="0" w:space="0" w:color="auto"/>
            <w:bottom w:val="none" w:sz="0" w:space="0" w:color="auto"/>
            <w:right w:val="none" w:sz="0" w:space="0" w:color="auto"/>
          </w:divBdr>
          <w:divsChild>
            <w:div w:id="1281448525">
              <w:marLeft w:val="0"/>
              <w:marRight w:val="0"/>
              <w:marTop w:val="0"/>
              <w:marBottom w:val="0"/>
              <w:divBdr>
                <w:top w:val="none" w:sz="0" w:space="0" w:color="auto"/>
                <w:left w:val="none" w:sz="0" w:space="0" w:color="auto"/>
                <w:bottom w:val="none" w:sz="0" w:space="0" w:color="auto"/>
                <w:right w:val="none" w:sz="0" w:space="0" w:color="auto"/>
              </w:divBdr>
              <w:divsChild>
                <w:div w:id="917329397">
                  <w:marLeft w:val="0"/>
                  <w:marRight w:val="0"/>
                  <w:marTop w:val="0"/>
                  <w:marBottom w:val="0"/>
                  <w:divBdr>
                    <w:top w:val="none" w:sz="0" w:space="0" w:color="auto"/>
                    <w:left w:val="none" w:sz="0" w:space="0" w:color="auto"/>
                    <w:bottom w:val="none" w:sz="0" w:space="0" w:color="auto"/>
                    <w:right w:val="none" w:sz="0" w:space="0" w:color="auto"/>
                  </w:divBdr>
                  <w:divsChild>
                    <w:div w:id="1037657053">
                      <w:marLeft w:val="0"/>
                      <w:marRight w:val="0"/>
                      <w:marTop w:val="0"/>
                      <w:marBottom w:val="0"/>
                      <w:divBdr>
                        <w:top w:val="none" w:sz="0" w:space="0" w:color="auto"/>
                        <w:left w:val="none" w:sz="0" w:space="0" w:color="auto"/>
                        <w:bottom w:val="none" w:sz="0" w:space="0" w:color="auto"/>
                        <w:right w:val="none" w:sz="0" w:space="0" w:color="auto"/>
                      </w:divBdr>
                      <w:divsChild>
                        <w:div w:id="10086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FC9C7098A14DC9AF18C45F1D2A8D23"/>
        <w:category>
          <w:name w:val="General"/>
          <w:gallery w:val="placeholder"/>
        </w:category>
        <w:types>
          <w:type w:val="bbPlcHdr"/>
        </w:types>
        <w:behaviors>
          <w:behavior w:val="content"/>
        </w:behaviors>
        <w:guid w:val="{BD5194E2-BD5A-4ABD-A3EF-F2E1A8F52164}"/>
      </w:docPartPr>
      <w:docPartBody>
        <w:p w:rsidR="00A17CAC" w:rsidRDefault="00FB6C83" w:rsidP="00FB6C83">
          <w:pPr>
            <w:pStyle w:val="6FFC9C7098A14DC9AF18C45F1D2A8D23"/>
          </w:pPr>
          <w:r w:rsidRPr="008B5CA2">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3E"/>
    <w:rsid w:val="00141A3E"/>
    <w:rsid w:val="001778C8"/>
    <w:rsid w:val="006B4767"/>
    <w:rsid w:val="008B771C"/>
    <w:rsid w:val="00A17CAC"/>
    <w:rsid w:val="00FB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C83"/>
    <w:rPr>
      <w:color w:val="808080"/>
    </w:rPr>
  </w:style>
  <w:style w:type="paragraph" w:customStyle="1" w:styleId="735942B8A4734E2686FAECE526D4FA51">
    <w:name w:val="735942B8A4734E2686FAECE526D4FA51"/>
  </w:style>
  <w:style w:type="paragraph" w:customStyle="1" w:styleId="DF7A2D0B702C4CEFB129AE53B5977E7B">
    <w:name w:val="DF7A2D0B702C4CEFB129AE53B5977E7B"/>
    <w:rsid w:val="00141A3E"/>
  </w:style>
  <w:style w:type="paragraph" w:customStyle="1" w:styleId="F8FB44AB119E49BE95E23E7EF070B2FB">
    <w:name w:val="F8FB44AB119E49BE95E23E7EF070B2FB"/>
    <w:rsid w:val="00141A3E"/>
  </w:style>
  <w:style w:type="paragraph" w:customStyle="1" w:styleId="553D10B5585349E88AB27902AC8BC284">
    <w:name w:val="553D10B5585349E88AB27902AC8BC284"/>
    <w:rsid w:val="00141A3E"/>
  </w:style>
  <w:style w:type="paragraph" w:customStyle="1" w:styleId="E5BD2A6D921D46E28FD461C46E277478">
    <w:name w:val="E5BD2A6D921D46E28FD461C46E277478"/>
    <w:rsid w:val="00141A3E"/>
  </w:style>
  <w:style w:type="paragraph" w:customStyle="1" w:styleId="CF1764733B8644E187109B1375B99891">
    <w:name w:val="CF1764733B8644E187109B1375B99891"/>
    <w:rsid w:val="00141A3E"/>
  </w:style>
  <w:style w:type="paragraph" w:customStyle="1" w:styleId="88E2182FE1ED4796935059FA714F5F9D">
    <w:name w:val="88E2182FE1ED4796935059FA714F5F9D"/>
    <w:rsid w:val="00141A3E"/>
  </w:style>
  <w:style w:type="paragraph" w:customStyle="1" w:styleId="827898B5923F4EF98532F7C58E8A51BE">
    <w:name w:val="827898B5923F4EF98532F7C58E8A51BE"/>
    <w:rsid w:val="00141A3E"/>
  </w:style>
  <w:style w:type="paragraph" w:customStyle="1" w:styleId="142FD8978956400C8CC0059230601BA1">
    <w:name w:val="142FD8978956400C8CC0059230601BA1"/>
    <w:rsid w:val="00141A3E"/>
  </w:style>
  <w:style w:type="paragraph" w:customStyle="1" w:styleId="6FFC9C7098A14DC9AF18C45F1D2A8D23">
    <w:name w:val="6FFC9C7098A14DC9AF18C45F1D2A8D23"/>
    <w:rsid w:val="00FB6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9F4A-B56A-4D53-B12A-30B0A1BD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4180</Words>
  <Characters>22991</Characters>
  <Application>Microsoft Office Word</Application>
  <DocSecurity>0</DocSecurity>
  <Lines>191</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 en</vt:lpstr>
      <vt:lpstr>151 SmPC EAC</vt:lpstr>
    </vt:vector>
  </TitlesOfParts>
  <Company>DAFRA PHARMA</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SPEDS1</dc:subject>
  <dc:creator>RA Dafra Pharma</dc:creator>
  <cp:lastModifiedBy>Karin Van Halewijck</cp:lastModifiedBy>
  <cp:revision>1</cp:revision>
  <dcterms:created xsi:type="dcterms:W3CDTF">2020-07-31T10:27:00Z</dcterms:created>
  <dcterms:modified xsi:type="dcterms:W3CDTF">2020-07-31T11:21:00Z</dcterms:modified>
  <cp:version>V2</cp:version>
</cp:coreProperties>
</file>