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9AE4" w14:textId="77777777" w:rsidR="00BF1DCE" w:rsidRPr="00216069" w:rsidRDefault="00BF1DCE" w:rsidP="006E5361">
      <w:pPr>
        <w:pStyle w:val="Heading1"/>
        <w:numPr>
          <w:ilvl w:val="0"/>
          <w:numId w:val="0"/>
        </w:numPr>
        <w:pBdr>
          <w:top w:val="single" w:sz="4" w:space="1" w:color="auto"/>
          <w:left w:val="single" w:sz="4" w:space="4" w:color="auto"/>
          <w:bottom w:val="single" w:sz="4" w:space="1" w:color="auto"/>
          <w:right w:val="single" w:sz="4" w:space="4" w:color="auto"/>
        </w:pBdr>
        <w:spacing w:before="0" w:after="0" w:line="360" w:lineRule="auto"/>
        <w:jc w:val="center"/>
        <w:rPr>
          <w:rFonts w:asciiTheme="minorHAnsi" w:hAnsiTheme="minorHAnsi"/>
          <w:lang w:val="en-GB"/>
        </w:rPr>
      </w:pPr>
      <w:r w:rsidRPr="00216069">
        <w:rPr>
          <w:rFonts w:asciiTheme="minorHAnsi" w:hAnsiTheme="minorHAnsi"/>
          <w:lang w:val="en-GB"/>
        </w:rPr>
        <w:t>Summary of Product Characteristics</w:t>
      </w:r>
    </w:p>
    <w:p w14:paraId="74270606" w14:textId="77777777" w:rsidR="004453F0" w:rsidRPr="00216069" w:rsidRDefault="004453F0" w:rsidP="006E5361">
      <w:pPr>
        <w:spacing w:after="0" w:line="360" w:lineRule="auto"/>
        <w:rPr>
          <w:rFonts w:asciiTheme="minorHAnsi" w:hAnsiTheme="minorHAnsi"/>
          <w:lang w:val="en-GB"/>
        </w:rPr>
      </w:pPr>
    </w:p>
    <w:p w14:paraId="181F1549" w14:textId="77777777" w:rsidR="00AE30FE" w:rsidRPr="00216069" w:rsidRDefault="00FD40F1" w:rsidP="006E5361">
      <w:pPr>
        <w:spacing w:after="0" w:line="360" w:lineRule="auto"/>
        <w:rPr>
          <w:rFonts w:asciiTheme="minorHAnsi" w:hAnsiTheme="minorHAnsi"/>
          <w:b/>
          <w:lang w:val="en-GB"/>
        </w:rPr>
      </w:pPr>
      <w:r w:rsidRPr="00216069">
        <w:rPr>
          <w:rFonts w:asciiTheme="minorHAnsi" w:hAnsiTheme="minorHAnsi"/>
          <w:b/>
          <w:lang w:val="en-GB"/>
        </w:rPr>
        <w:t>1-</w:t>
      </w:r>
      <w:r w:rsidR="00AE30FE" w:rsidRPr="00216069">
        <w:rPr>
          <w:rFonts w:asciiTheme="minorHAnsi" w:hAnsiTheme="minorHAnsi"/>
          <w:b/>
          <w:lang w:val="en-GB"/>
        </w:rPr>
        <w:t>NAME OF THE MEDICINAL PRODUCT (FPP)</w:t>
      </w:r>
    </w:p>
    <w:p w14:paraId="7B8043CB" w14:textId="020BDA41" w:rsidR="00FD40F1" w:rsidRPr="00216069" w:rsidRDefault="00623036" w:rsidP="006E5361">
      <w:pPr>
        <w:pStyle w:val="ListParagraph"/>
        <w:spacing w:after="0" w:line="360" w:lineRule="auto"/>
        <w:ind w:left="0"/>
        <w:rPr>
          <w:rFonts w:asciiTheme="minorHAnsi" w:hAnsiTheme="minorHAnsi"/>
          <w:b/>
          <w:bCs/>
          <w:lang w:val="en-GB"/>
        </w:rPr>
      </w:pPr>
      <w:r w:rsidRPr="00216069">
        <w:rPr>
          <w:rFonts w:asciiTheme="minorHAnsi" w:hAnsiTheme="minorHAnsi"/>
          <w:lang w:val="en-GB"/>
        </w:rPr>
        <w:tab/>
      </w:r>
      <w:r w:rsidRPr="00216069">
        <w:rPr>
          <w:rFonts w:asciiTheme="minorHAnsi" w:hAnsiTheme="minorHAnsi"/>
          <w:b/>
          <w:bCs/>
          <w:lang w:val="en-GB"/>
        </w:rPr>
        <w:t>DAFRAZOL® IV</w:t>
      </w:r>
    </w:p>
    <w:p w14:paraId="1BC09E25" w14:textId="66CF4BDD" w:rsidR="00B259F0" w:rsidRPr="00216069" w:rsidRDefault="00B259F0" w:rsidP="006E5361">
      <w:pPr>
        <w:pStyle w:val="ListParagraph"/>
        <w:spacing w:after="0" w:line="360" w:lineRule="auto"/>
        <w:ind w:left="0"/>
        <w:rPr>
          <w:rFonts w:asciiTheme="minorHAnsi" w:hAnsiTheme="minorHAnsi"/>
          <w:i/>
          <w:iCs/>
          <w:lang w:val="en-GB"/>
        </w:rPr>
      </w:pPr>
      <w:r w:rsidRPr="00216069">
        <w:rPr>
          <w:rFonts w:asciiTheme="minorHAnsi" w:hAnsiTheme="minorHAnsi"/>
          <w:b/>
          <w:bCs/>
          <w:lang w:val="en-GB"/>
        </w:rPr>
        <w:tab/>
      </w:r>
      <w:r w:rsidRPr="00216069">
        <w:rPr>
          <w:rFonts w:asciiTheme="minorHAnsi" w:hAnsiTheme="minorHAnsi"/>
          <w:i/>
          <w:iCs/>
          <w:lang w:val="en-GB"/>
        </w:rPr>
        <w:t>Omeprazole</w:t>
      </w:r>
    </w:p>
    <w:p w14:paraId="13038915" w14:textId="2CFA0DAB" w:rsidR="00BB0513" w:rsidRPr="00216069" w:rsidRDefault="00623036" w:rsidP="00623036">
      <w:pPr>
        <w:pStyle w:val="ListParagraph"/>
        <w:numPr>
          <w:ilvl w:val="1"/>
          <w:numId w:val="29"/>
        </w:numPr>
        <w:spacing w:after="0" w:line="360" w:lineRule="auto"/>
        <w:rPr>
          <w:rFonts w:asciiTheme="minorHAnsi" w:hAnsiTheme="minorHAnsi"/>
          <w:b/>
          <w:bCs/>
          <w:lang w:val="en-GB"/>
        </w:rPr>
      </w:pPr>
      <w:r w:rsidRPr="00216069">
        <w:rPr>
          <w:rFonts w:asciiTheme="minorHAnsi" w:hAnsiTheme="minorHAnsi"/>
          <w:b/>
          <w:bCs/>
          <w:lang w:val="en-GB"/>
        </w:rPr>
        <w:t>Strength</w:t>
      </w:r>
    </w:p>
    <w:p w14:paraId="0FEB216E" w14:textId="517A35AB" w:rsidR="00623036" w:rsidRPr="00216069" w:rsidRDefault="00623036" w:rsidP="00623036">
      <w:pPr>
        <w:pStyle w:val="ListParagraph"/>
        <w:spacing w:after="0" w:line="360" w:lineRule="auto"/>
        <w:rPr>
          <w:rFonts w:asciiTheme="minorHAnsi" w:hAnsiTheme="minorHAnsi"/>
          <w:lang w:val="en-GB"/>
        </w:rPr>
      </w:pPr>
      <w:r w:rsidRPr="00216069">
        <w:rPr>
          <w:rFonts w:asciiTheme="minorHAnsi" w:hAnsiTheme="minorHAnsi"/>
          <w:lang w:val="en-GB"/>
        </w:rPr>
        <w:t xml:space="preserve">40 </w:t>
      </w:r>
      <w:proofErr w:type="gramStart"/>
      <w:r w:rsidRPr="00216069">
        <w:rPr>
          <w:rFonts w:asciiTheme="minorHAnsi" w:hAnsiTheme="minorHAnsi"/>
          <w:lang w:val="en-GB"/>
        </w:rPr>
        <w:t>mg  (</w:t>
      </w:r>
      <w:proofErr w:type="gramEnd"/>
      <w:r w:rsidRPr="00216069">
        <w:rPr>
          <w:rFonts w:asciiTheme="minorHAnsi" w:hAnsiTheme="minorHAnsi"/>
          <w:lang w:val="en-GB"/>
        </w:rPr>
        <w:t xml:space="preserve"> 4 mg/ml following reconstitution with the enclosed solvent)</w:t>
      </w:r>
    </w:p>
    <w:p w14:paraId="4BE6F308" w14:textId="5869D170" w:rsidR="00623036" w:rsidRPr="00216069" w:rsidRDefault="00623036" w:rsidP="00623036">
      <w:pPr>
        <w:pStyle w:val="ListParagraph"/>
        <w:numPr>
          <w:ilvl w:val="1"/>
          <w:numId w:val="29"/>
        </w:numPr>
        <w:spacing w:after="0" w:line="360" w:lineRule="auto"/>
        <w:rPr>
          <w:rFonts w:asciiTheme="minorHAnsi" w:hAnsiTheme="minorHAnsi"/>
          <w:b/>
          <w:bCs/>
          <w:lang w:val="en-GB"/>
        </w:rPr>
      </w:pPr>
      <w:r w:rsidRPr="00216069">
        <w:rPr>
          <w:rFonts w:asciiTheme="minorHAnsi" w:hAnsiTheme="minorHAnsi"/>
          <w:b/>
          <w:bCs/>
          <w:lang w:val="en-GB"/>
        </w:rPr>
        <w:t>Pharmaceutical form</w:t>
      </w:r>
    </w:p>
    <w:p w14:paraId="6E949A3D" w14:textId="12EADBCD" w:rsidR="00623036" w:rsidRPr="00216069" w:rsidRDefault="00623036" w:rsidP="00623036">
      <w:pPr>
        <w:spacing w:after="0" w:line="360" w:lineRule="auto"/>
        <w:ind w:left="720"/>
        <w:rPr>
          <w:rFonts w:asciiTheme="minorHAnsi" w:hAnsiTheme="minorHAnsi"/>
          <w:lang w:val="en-GB"/>
        </w:rPr>
      </w:pPr>
      <w:r w:rsidRPr="00216069">
        <w:rPr>
          <w:rFonts w:asciiTheme="minorHAnsi" w:hAnsiTheme="minorHAnsi"/>
          <w:lang w:val="en-GB"/>
        </w:rPr>
        <w:t>Powder and solvent for solution for injection</w:t>
      </w:r>
    </w:p>
    <w:p w14:paraId="56FEEFDC" w14:textId="77777777" w:rsidR="00623036" w:rsidRPr="00216069" w:rsidRDefault="00623036" w:rsidP="00623036">
      <w:pPr>
        <w:spacing w:after="0" w:line="360" w:lineRule="auto"/>
        <w:ind w:left="720"/>
        <w:rPr>
          <w:rFonts w:asciiTheme="minorHAnsi" w:hAnsiTheme="minorHAnsi"/>
          <w:lang w:val="en-GB"/>
        </w:rPr>
      </w:pPr>
    </w:p>
    <w:p w14:paraId="09AEB0C4" w14:textId="77777777" w:rsidR="00AE30FE" w:rsidRPr="003A67E9" w:rsidRDefault="009B0007" w:rsidP="006E5361">
      <w:pPr>
        <w:spacing w:after="0" w:line="360" w:lineRule="auto"/>
        <w:rPr>
          <w:rFonts w:asciiTheme="minorHAnsi" w:hAnsiTheme="minorHAnsi"/>
          <w:b/>
          <w:lang w:val="fr-FR"/>
        </w:rPr>
      </w:pPr>
      <w:r w:rsidRPr="003A67E9">
        <w:rPr>
          <w:rFonts w:asciiTheme="minorHAnsi" w:hAnsiTheme="minorHAnsi"/>
          <w:b/>
          <w:lang w:val="fr-FR"/>
        </w:rPr>
        <w:t xml:space="preserve">2- </w:t>
      </w:r>
      <w:r w:rsidR="00AE30FE" w:rsidRPr="003A67E9">
        <w:rPr>
          <w:rFonts w:asciiTheme="minorHAnsi" w:hAnsiTheme="minorHAnsi"/>
          <w:b/>
          <w:lang w:val="fr-FR"/>
        </w:rPr>
        <w:t>QUALITATIVE AND QUANTITATIVE COMPOSITION</w:t>
      </w:r>
    </w:p>
    <w:p w14:paraId="0DC00348" w14:textId="50699109" w:rsidR="0011316A" w:rsidRPr="003A67E9" w:rsidRDefault="00B259F0" w:rsidP="006E5361">
      <w:pPr>
        <w:pStyle w:val="ListParagraph"/>
        <w:spacing w:after="0" w:line="360" w:lineRule="auto"/>
        <w:ind w:left="0"/>
        <w:rPr>
          <w:rFonts w:asciiTheme="minorHAnsi" w:hAnsiTheme="minorHAnsi"/>
          <w:b/>
          <w:bCs/>
          <w:lang w:val="fr-FR"/>
        </w:rPr>
      </w:pPr>
      <w:r w:rsidRPr="003A67E9">
        <w:rPr>
          <w:rFonts w:asciiTheme="minorHAnsi" w:hAnsiTheme="minorHAnsi"/>
          <w:b/>
          <w:bCs/>
          <w:lang w:val="fr-FR"/>
        </w:rPr>
        <w:t>2.1</w:t>
      </w:r>
      <w:r w:rsidRPr="003A67E9">
        <w:rPr>
          <w:rFonts w:asciiTheme="minorHAnsi" w:hAnsiTheme="minorHAnsi"/>
          <w:b/>
          <w:bCs/>
          <w:lang w:val="fr-FR"/>
        </w:rPr>
        <w:tab/>
        <w:t xml:space="preserve">Qualitative </w:t>
      </w:r>
      <w:proofErr w:type="spellStart"/>
      <w:r w:rsidRPr="003A67E9">
        <w:rPr>
          <w:rFonts w:asciiTheme="minorHAnsi" w:hAnsiTheme="minorHAnsi"/>
          <w:b/>
          <w:bCs/>
          <w:lang w:val="fr-FR"/>
        </w:rPr>
        <w:t>declaration</w:t>
      </w:r>
      <w:proofErr w:type="spellEnd"/>
    </w:p>
    <w:p w14:paraId="7CEDDEC2" w14:textId="4CC76B70" w:rsidR="00B259F0" w:rsidRPr="00216069" w:rsidRDefault="00B259F0" w:rsidP="006E5361">
      <w:pPr>
        <w:pStyle w:val="ListParagraph"/>
        <w:spacing w:after="0" w:line="360" w:lineRule="auto"/>
        <w:ind w:left="0"/>
        <w:rPr>
          <w:rFonts w:asciiTheme="minorHAnsi" w:hAnsiTheme="minorHAnsi"/>
          <w:lang w:val="en-GB"/>
        </w:rPr>
      </w:pPr>
      <w:r w:rsidRPr="003A67E9">
        <w:rPr>
          <w:rFonts w:asciiTheme="minorHAnsi" w:hAnsiTheme="minorHAnsi"/>
          <w:b/>
          <w:bCs/>
          <w:lang w:val="fr-FR"/>
        </w:rPr>
        <w:tab/>
      </w:r>
      <w:r w:rsidRPr="00216069">
        <w:rPr>
          <w:rFonts w:asciiTheme="minorHAnsi" w:hAnsiTheme="minorHAnsi"/>
          <w:lang w:val="en-GB"/>
        </w:rPr>
        <w:t>Omeprazole sodium</w:t>
      </w:r>
    </w:p>
    <w:p w14:paraId="19718427" w14:textId="5E3A83D1" w:rsidR="00B259F0" w:rsidRPr="00216069" w:rsidRDefault="00B259F0" w:rsidP="00B259F0">
      <w:pPr>
        <w:pStyle w:val="ListParagraph"/>
        <w:spacing w:after="0" w:line="360" w:lineRule="auto"/>
        <w:ind w:left="0" w:firstLine="720"/>
        <w:rPr>
          <w:rFonts w:asciiTheme="minorHAnsi" w:hAnsiTheme="minorHAnsi"/>
          <w:lang w:val="en-GB"/>
        </w:rPr>
      </w:pPr>
      <w:r w:rsidRPr="00216069">
        <w:rPr>
          <w:rFonts w:asciiTheme="minorHAnsi" w:hAnsiTheme="minorHAnsi"/>
          <w:lang w:val="en-GB"/>
        </w:rPr>
        <w:t>For the full list of excipients, see section 6.1</w:t>
      </w:r>
    </w:p>
    <w:p w14:paraId="30884B78" w14:textId="43C0CA6F" w:rsidR="00B259F0" w:rsidRPr="00216069" w:rsidRDefault="00B259F0" w:rsidP="006E5361">
      <w:pPr>
        <w:pStyle w:val="ListParagraph"/>
        <w:spacing w:after="0" w:line="360" w:lineRule="auto"/>
        <w:ind w:left="0"/>
        <w:rPr>
          <w:rFonts w:asciiTheme="minorHAnsi" w:hAnsiTheme="minorHAnsi"/>
          <w:b/>
          <w:bCs/>
          <w:lang w:val="en-GB"/>
        </w:rPr>
      </w:pPr>
      <w:r w:rsidRPr="00216069">
        <w:rPr>
          <w:rFonts w:asciiTheme="minorHAnsi" w:hAnsiTheme="minorHAnsi"/>
          <w:b/>
          <w:bCs/>
          <w:lang w:val="en-GB"/>
        </w:rPr>
        <w:t xml:space="preserve">2.2 </w:t>
      </w:r>
      <w:r w:rsidRPr="00216069">
        <w:rPr>
          <w:rFonts w:asciiTheme="minorHAnsi" w:hAnsiTheme="minorHAnsi"/>
          <w:b/>
          <w:bCs/>
          <w:lang w:val="en-GB"/>
        </w:rPr>
        <w:tab/>
        <w:t>Quantitative declaration</w:t>
      </w:r>
    </w:p>
    <w:p w14:paraId="1A4A9DDA" w14:textId="77777777" w:rsidR="006E5361" w:rsidRPr="00216069" w:rsidRDefault="006E5361" w:rsidP="00B259F0">
      <w:pPr>
        <w:pStyle w:val="ListParagraph"/>
        <w:spacing w:after="0" w:line="360" w:lineRule="auto"/>
        <w:rPr>
          <w:rFonts w:asciiTheme="minorHAnsi" w:hAnsiTheme="minorHAnsi"/>
          <w:lang w:val="en-GB"/>
        </w:rPr>
      </w:pPr>
      <w:r w:rsidRPr="00216069">
        <w:rPr>
          <w:rFonts w:asciiTheme="minorHAnsi" w:hAnsiTheme="minorHAnsi"/>
          <w:lang w:val="en-GB"/>
        </w:rPr>
        <w:t>Each vial of powder for solution for injection contains 42.6 mg of omeprazole sodium, corresponding to 40 mg of omeprazole.</w:t>
      </w:r>
    </w:p>
    <w:p w14:paraId="3B966C9E" w14:textId="14732DA8" w:rsidR="006E5361" w:rsidRPr="00216069" w:rsidRDefault="006E5361" w:rsidP="00B259F0">
      <w:pPr>
        <w:pStyle w:val="ListParagraph"/>
        <w:spacing w:after="0" w:line="360" w:lineRule="auto"/>
        <w:rPr>
          <w:rFonts w:asciiTheme="minorHAnsi" w:hAnsiTheme="minorHAnsi"/>
          <w:lang w:val="en-GB"/>
        </w:rPr>
      </w:pPr>
      <w:r w:rsidRPr="00216069">
        <w:rPr>
          <w:rFonts w:asciiTheme="minorHAnsi" w:hAnsiTheme="minorHAnsi"/>
          <w:lang w:val="en-GB"/>
        </w:rPr>
        <w:t>After reconstitution</w:t>
      </w:r>
      <w:r w:rsidR="00B259F0" w:rsidRPr="00216069">
        <w:rPr>
          <w:rFonts w:asciiTheme="minorHAnsi" w:hAnsiTheme="minorHAnsi"/>
          <w:lang w:val="en-GB"/>
        </w:rPr>
        <w:t xml:space="preserve"> with the solvent</w:t>
      </w:r>
      <w:r w:rsidRPr="00216069">
        <w:rPr>
          <w:rFonts w:asciiTheme="minorHAnsi" w:hAnsiTheme="minorHAnsi"/>
          <w:lang w:val="en-GB"/>
        </w:rPr>
        <w:t>, 1 ml contains 4.2</w:t>
      </w:r>
      <w:r w:rsidR="00B259F0" w:rsidRPr="00216069">
        <w:rPr>
          <w:rFonts w:asciiTheme="minorHAnsi" w:hAnsiTheme="minorHAnsi"/>
          <w:lang w:val="en-GB"/>
        </w:rPr>
        <w:t>6</w:t>
      </w:r>
      <w:r w:rsidRPr="00216069">
        <w:rPr>
          <w:rFonts w:asciiTheme="minorHAnsi" w:hAnsiTheme="minorHAnsi"/>
          <w:lang w:val="en-GB"/>
        </w:rPr>
        <w:t xml:space="preserve"> mg of omeprazole sodium, corresponding to 4 mg of omeprazole.</w:t>
      </w:r>
    </w:p>
    <w:p w14:paraId="14D1BAA0" w14:textId="1579D0E8" w:rsidR="002B3DDF" w:rsidRPr="00216069" w:rsidRDefault="002B3DDF" w:rsidP="00B259F0">
      <w:pPr>
        <w:pStyle w:val="ListParagraph"/>
        <w:spacing w:after="0" w:line="360" w:lineRule="auto"/>
        <w:rPr>
          <w:rFonts w:asciiTheme="minorHAnsi" w:hAnsiTheme="minorHAnsi"/>
          <w:lang w:val="en-GB"/>
        </w:rPr>
      </w:pPr>
    </w:p>
    <w:p w14:paraId="4CF13BB4" w14:textId="77777777" w:rsidR="006E5361" w:rsidRPr="00216069" w:rsidRDefault="006E5361" w:rsidP="006E5361">
      <w:pPr>
        <w:pStyle w:val="ListParagraph"/>
        <w:spacing w:after="0" w:line="360" w:lineRule="auto"/>
        <w:ind w:left="0"/>
        <w:rPr>
          <w:rFonts w:asciiTheme="minorHAnsi" w:hAnsiTheme="minorHAnsi"/>
          <w:lang w:val="en-GB"/>
        </w:rPr>
      </w:pPr>
    </w:p>
    <w:p w14:paraId="5D8C4F57"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3- </w:t>
      </w:r>
      <w:r w:rsidR="00AE30FE" w:rsidRPr="00216069">
        <w:rPr>
          <w:rFonts w:asciiTheme="minorHAnsi" w:hAnsiTheme="minorHAnsi"/>
          <w:b/>
          <w:lang w:val="en-GB"/>
        </w:rPr>
        <w:t>PHARMACEUTICAL FORM</w:t>
      </w:r>
    </w:p>
    <w:p w14:paraId="49017F10" w14:textId="7D500894" w:rsidR="002B3DDF" w:rsidRPr="00216069" w:rsidRDefault="006E5361" w:rsidP="00B259F0">
      <w:pPr>
        <w:pStyle w:val="ListParagraph"/>
        <w:spacing w:after="0" w:line="360" w:lineRule="auto"/>
        <w:rPr>
          <w:rFonts w:asciiTheme="minorHAnsi" w:hAnsiTheme="minorHAnsi" w:cs="Arial"/>
          <w:color w:val="000000"/>
          <w:shd w:val="clear" w:color="auto" w:fill="FFFFFF"/>
          <w:lang w:val="en-GB"/>
        </w:rPr>
      </w:pPr>
      <w:r w:rsidRPr="00216069">
        <w:rPr>
          <w:rFonts w:asciiTheme="minorHAnsi" w:hAnsiTheme="minorHAnsi" w:cs="Arial"/>
          <w:color w:val="000000"/>
          <w:shd w:val="clear" w:color="auto" w:fill="FFFFFF"/>
          <w:lang w:val="en-GB"/>
        </w:rPr>
        <w:t>Powder and solvent for solution for injection.</w:t>
      </w:r>
    </w:p>
    <w:p w14:paraId="02660DBB" w14:textId="25B858D1" w:rsidR="00B259F0" w:rsidRPr="00216069" w:rsidRDefault="00B259F0" w:rsidP="00B259F0">
      <w:pPr>
        <w:pStyle w:val="ListParagraph"/>
        <w:spacing w:after="0" w:line="360" w:lineRule="auto"/>
        <w:rPr>
          <w:rFonts w:asciiTheme="minorHAnsi" w:hAnsiTheme="minorHAnsi" w:cs="Arial"/>
          <w:color w:val="000000"/>
          <w:shd w:val="clear" w:color="auto" w:fill="FFFFFF"/>
          <w:lang w:val="en-GB"/>
        </w:rPr>
      </w:pPr>
      <w:r w:rsidRPr="00216069">
        <w:rPr>
          <w:rFonts w:asciiTheme="minorHAnsi" w:hAnsiTheme="minorHAnsi" w:cs="Arial"/>
          <w:color w:val="000000"/>
          <w:shd w:val="clear" w:color="auto" w:fill="FFFFFF"/>
          <w:lang w:val="en-GB"/>
        </w:rPr>
        <w:t>Powder: white to almost white cake</w:t>
      </w:r>
    </w:p>
    <w:p w14:paraId="2C341754" w14:textId="6FF99CA7" w:rsidR="00B259F0" w:rsidRPr="00216069" w:rsidRDefault="00B259F0" w:rsidP="00B259F0">
      <w:pPr>
        <w:pStyle w:val="ListParagraph"/>
        <w:spacing w:after="0" w:line="360" w:lineRule="auto"/>
        <w:rPr>
          <w:rFonts w:asciiTheme="minorHAnsi" w:hAnsiTheme="minorHAnsi" w:cs="Arial"/>
          <w:color w:val="000000"/>
          <w:shd w:val="clear" w:color="auto" w:fill="FFFFFF"/>
          <w:lang w:val="en-GB"/>
        </w:rPr>
      </w:pPr>
      <w:r w:rsidRPr="00216069">
        <w:rPr>
          <w:rFonts w:asciiTheme="minorHAnsi" w:hAnsiTheme="minorHAnsi" w:cs="Arial"/>
          <w:color w:val="000000"/>
          <w:shd w:val="clear" w:color="auto" w:fill="FFFFFF"/>
          <w:lang w:val="en-GB"/>
        </w:rPr>
        <w:t>Solvent: colourless solution</w:t>
      </w:r>
    </w:p>
    <w:p w14:paraId="55FBAED3" w14:textId="484D13D5" w:rsidR="00B259F0" w:rsidRPr="00216069" w:rsidRDefault="00B259F0" w:rsidP="00B259F0">
      <w:pPr>
        <w:pStyle w:val="ListParagraph"/>
        <w:spacing w:after="0" w:line="360" w:lineRule="auto"/>
        <w:rPr>
          <w:rFonts w:asciiTheme="minorHAnsi" w:hAnsiTheme="minorHAnsi" w:cs="Arial"/>
          <w:color w:val="000000"/>
          <w:shd w:val="clear" w:color="auto" w:fill="FFFFFF"/>
          <w:lang w:val="en-GB"/>
        </w:rPr>
      </w:pPr>
      <w:r w:rsidRPr="00216069">
        <w:rPr>
          <w:rFonts w:asciiTheme="minorHAnsi" w:hAnsiTheme="minorHAnsi" w:cs="Arial"/>
          <w:color w:val="000000"/>
          <w:shd w:val="clear" w:color="auto" w:fill="FFFFFF"/>
          <w:lang w:val="en-GB"/>
        </w:rPr>
        <w:t xml:space="preserve">Solution following reconstitution of </w:t>
      </w:r>
      <w:r w:rsidR="00C24BED" w:rsidRPr="00216069">
        <w:rPr>
          <w:rFonts w:asciiTheme="minorHAnsi" w:hAnsiTheme="minorHAnsi" w:cs="Arial"/>
          <w:color w:val="000000"/>
          <w:shd w:val="clear" w:color="auto" w:fill="FFFFFF"/>
          <w:lang w:val="en-GB"/>
        </w:rPr>
        <w:t xml:space="preserve">powder </w:t>
      </w:r>
      <w:r w:rsidRPr="00216069">
        <w:rPr>
          <w:rFonts w:asciiTheme="minorHAnsi" w:hAnsiTheme="minorHAnsi" w:cs="Arial"/>
          <w:color w:val="000000"/>
          <w:shd w:val="clear" w:color="auto" w:fill="FFFFFF"/>
          <w:lang w:val="en-GB"/>
        </w:rPr>
        <w:t>vial with the solvent ampoule: clear, colourless to pale yellow solution</w:t>
      </w:r>
    </w:p>
    <w:p w14:paraId="5974723C" w14:textId="76F680BA" w:rsidR="00094EA9" w:rsidRPr="00216069" w:rsidRDefault="00094EA9">
      <w:pPr>
        <w:spacing w:after="0" w:line="240" w:lineRule="auto"/>
        <w:rPr>
          <w:rFonts w:asciiTheme="minorHAnsi" w:eastAsia="Times New Roman" w:hAnsiTheme="minorHAnsi"/>
          <w:lang w:val="en-GB"/>
        </w:rPr>
      </w:pPr>
      <w:r w:rsidRPr="00216069">
        <w:rPr>
          <w:rFonts w:asciiTheme="minorHAnsi" w:hAnsiTheme="minorHAnsi"/>
          <w:lang w:val="en-GB"/>
        </w:rPr>
        <w:br w:type="page"/>
      </w:r>
    </w:p>
    <w:p w14:paraId="69B54C70" w14:textId="77777777" w:rsidR="006E5361" w:rsidRPr="00216069" w:rsidRDefault="006E5361" w:rsidP="006E5361">
      <w:pPr>
        <w:pStyle w:val="ListParagraph"/>
        <w:spacing w:after="0" w:line="360" w:lineRule="auto"/>
        <w:ind w:left="0"/>
        <w:rPr>
          <w:rFonts w:asciiTheme="minorHAnsi" w:hAnsiTheme="minorHAnsi"/>
          <w:lang w:val="en-GB"/>
        </w:rPr>
      </w:pPr>
    </w:p>
    <w:p w14:paraId="634F5770"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 </w:t>
      </w:r>
      <w:r w:rsidR="00AE30FE" w:rsidRPr="00216069">
        <w:rPr>
          <w:rFonts w:asciiTheme="minorHAnsi" w:hAnsiTheme="minorHAnsi"/>
          <w:b/>
          <w:lang w:val="en-GB"/>
        </w:rPr>
        <w:t>CLINICAL PARTICULARS</w:t>
      </w:r>
    </w:p>
    <w:p w14:paraId="542BCB09"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4.1 </w:t>
      </w:r>
      <w:r w:rsidR="00AE30FE" w:rsidRPr="00216069">
        <w:rPr>
          <w:rFonts w:asciiTheme="minorHAnsi" w:hAnsiTheme="minorHAnsi"/>
          <w:b/>
          <w:lang w:val="en-GB"/>
        </w:rPr>
        <w:t>Therapeutic indications</w:t>
      </w:r>
    </w:p>
    <w:p w14:paraId="2F1906CA" w14:textId="74EEF4E8" w:rsidR="00BB0513" w:rsidRPr="00216069" w:rsidRDefault="00094EA9" w:rsidP="0046439E">
      <w:pPr>
        <w:pStyle w:val="NormalWeb"/>
        <w:shd w:val="clear" w:color="auto" w:fill="FFFFFF"/>
        <w:spacing w:before="0" w:beforeAutospacing="0" w:after="143" w:afterAutospacing="0" w:line="360" w:lineRule="auto"/>
        <w:ind w:left="714" w:firstLine="6"/>
        <w:rPr>
          <w:rFonts w:asciiTheme="minorHAnsi" w:hAnsiTheme="minorHAnsi" w:cs="Arial"/>
          <w:color w:val="000000"/>
        </w:rPr>
      </w:pPr>
      <w:proofErr w:type="spellStart"/>
      <w:r w:rsidRPr="00216069">
        <w:rPr>
          <w:rFonts w:asciiTheme="minorHAnsi" w:hAnsiTheme="minorHAnsi" w:cs="Arial"/>
          <w:color w:val="000000"/>
        </w:rPr>
        <w:t>Dafrazol</w:t>
      </w:r>
      <w:proofErr w:type="spellEnd"/>
      <w:r w:rsidRPr="00216069">
        <w:rPr>
          <w:rFonts w:asciiTheme="minorHAnsi" w:hAnsiTheme="minorHAnsi" w:cs="Arial"/>
          <w:color w:val="000000"/>
        </w:rPr>
        <w:t xml:space="preserve"> IV for intravenous use is </w:t>
      </w:r>
      <w:r w:rsidR="003A67E9" w:rsidRPr="00216069">
        <w:rPr>
          <w:rFonts w:asciiTheme="minorHAnsi" w:hAnsiTheme="minorHAnsi" w:cs="Arial"/>
          <w:color w:val="000000"/>
        </w:rPr>
        <w:t>indicated in</w:t>
      </w:r>
      <w:r w:rsidR="0046439E" w:rsidRPr="00216069">
        <w:rPr>
          <w:rFonts w:asciiTheme="minorHAnsi" w:hAnsiTheme="minorHAnsi" w:cs="Arial"/>
          <w:color w:val="000000"/>
        </w:rPr>
        <w:t xml:space="preserve"> adults </w:t>
      </w:r>
      <w:r w:rsidRPr="00216069">
        <w:rPr>
          <w:rFonts w:asciiTheme="minorHAnsi" w:hAnsiTheme="minorHAnsi" w:cs="Arial"/>
          <w:color w:val="000000"/>
        </w:rPr>
        <w:t>as an alternative to oral treatment for:</w:t>
      </w:r>
    </w:p>
    <w:p w14:paraId="6E264A26" w14:textId="77777777" w:rsidR="00BB0513" w:rsidRPr="00216069" w:rsidRDefault="00BB0513" w:rsidP="0046439E">
      <w:pPr>
        <w:pStyle w:val="NormalWeb"/>
        <w:shd w:val="clear" w:color="auto" w:fill="FFFFFF"/>
        <w:spacing w:before="0" w:beforeAutospacing="0" w:after="143" w:afterAutospacing="0" w:line="360" w:lineRule="auto"/>
        <w:ind w:left="357" w:firstLine="357"/>
        <w:rPr>
          <w:rFonts w:asciiTheme="minorHAnsi" w:hAnsiTheme="minorHAnsi" w:cs="Arial"/>
          <w:b/>
          <w:color w:val="000000"/>
          <w:u w:val="single"/>
        </w:rPr>
      </w:pPr>
      <w:r w:rsidRPr="00216069">
        <w:rPr>
          <w:rFonts w:asciiTheme="minorHAnsi" w:hAnsiTheme="minorHAnsi" w:cs="Arial"/>
          <w:b/>
          <w:color w:val="000000"/>
          <w:u w:val="single"/>
        </w:rPr>
        <w:t>Adults</w:t>
      </w:r>
    </w:p>
    <w:p w14:paraId="4DF77AAE" w14:textId="77777777" w:rsidR="00BB0513" w:rsidRPr="00216069" w:rsidRDefault="00BB0513" w:rsidP="0046439E">
      <w:pPr>
        <w:pStyle w:val="NormalWeb"/>
        <w:numPr>
          <w:ilvl w:val="0"/>
          <w:numId w:val="17"/>
        </w:numPr>
        <w:shd w:val="clear" w:color="auto" w:fill="FFFFFF"/>
        <w:spacing w:before="0" w:beforeAutospacing="0" w:after="143" w:afterAutospacing="0" w:line="276" w:lineRule="auto"/>
        <w:ind w:left="1071" w:hanging="357"/>
        <w:rPr>
          <w:rFonts w:asciiTheme="minorHAnsi" w:hAnsiTheme="minorHAnsi" w:cs="Arial"/>
          <w:color w:val="000000"/>
        </w:rPr>
      </w:pPr>
      <w:r w:rsidRPr="00216069">
        <w:rPr>
          <w:rFonts w:asciiTheme="minorHAnsi" w:hAnsiTheme="minorHAnsi" w:cs="Arial"/>
          <w:color w:val="000000"/>
        </w:rPr>
        <w:t>Treatment of duodenal ulcers</w:t>
      </w:r>
    </w:p>
    <w:p w14:paraId="2A2A4E30" w14:textId="77777777" w:rsidR="00BB0513" w:rsidRPr="00216069" w:rsidRDefault="00BB0513" w:rsidP="0046439E">
      <w:pPr>
        <w:pStyle w:val="NormalWeb"/>
        <w:numPr>
          <w:ilvl w:val="0"/>
          <w:numId w:val="17"/>
        </w:numPr>
        <w:shd w:val="clear" w:color="auto" w:fill="FFFFFF"/>
        <w:spacing w:before="0" w:beforeAutospacing="0" w:after="143" w:afterAutospacing="0" w:line="276" w:lineRule="auto"/>
        <w:ind w:left="1071" w:hanging="357"/>
        <w:rPr>
          <w:rFonts w:asciiTheme="minorHAnsi" w:hAnsiTheme="minorHAnsi" w:cs="Arial"/>
          <w:color w:val="000000"/>
        </w:rPr>
      </w:pPr>
      <w:r w:rsidRPr="00216069">
        <w:rPr>
          <w:rFonts w:asciiTheme="minorHAnsi" w:hAnsiTheme="minorHAnsi" w:cs="Arial"/>
          <w:color w:val="000000"/>
        </w:rPr>
        <w:t>Prevention of relapse of duodenal ulcers</w:t>
      </w:r>
    </w:p>
    <w:p w14:paraId="34064D46" w14:textId="77777777" w:rsidR="00BB0513" w:rsidRPr="00216069" w:rsidRDefault="00BB0513" w:rsidP="0046439E">
      <w:pPr>
        <w:pStyle w:val="NormalWeb"/>
        <w:numPr>
          <w:ilvl w:val="0"/>
          <w:numId w:val="17"/>
        </w:numPr>
        <w:shd w:val="clear" w:color="auto" w:fill="FFFFFF"/>
        <w:spacing w:before="0" w:beforeAutospacing="0" w:after="143" w:afterAutospacing="0" w:line="276" w:lineRule="auto"/>
        <w:ind w:left="1071" w:hanging="357"/>
        <w:rPr>
          <w:rFonts w:asciiTheme="minorHAnsi" w:hAnsiTheme="minorHAnsi" w:cs="Arial"/>
          <w:color w:val="000000"/>
        </w:rPr>
      </w:pPr>
      <w:r w:rsidRPr="00216069">
        <w:rPr>
          <w:rFonts w:asciiTheme="minorHAnsi" w:hAnsiTheme="minorHAnsi" w:cs="Arial"/>
          <w:color w:val="000000"/>
        </w:rPr>
        <w:t>Treatment of gastric ulcers</w:t>
      </w:r>
    </w:p>
    <w:p w14:paraId="70CF34FE" w14:textId="77777777" w:rsidR="00BB0513" w:rsidRPr="00216069" w:rsidRDefault="00BB0513" w:rsidP="0046439E">
      <w:pPr>
        <w:pStyle w:val="NormalWeb"/>
        <w:numPr>
          <w:ilvl w:val="0"/>
          <w:numId w:val="17"/>
        </w:numPr>
        <w:shd w:val="clear" w:color="auto" w:fill="FFFFFF"/>
        <w:spacing w:before="0" w:beforeAutospacing="0" w:after="143" w:afterAutospacing="0" w:line="276" w:lineRule="auto"/>
        <w:ind w:left="1071" w:hanging="357"/>
        <w:rPr>
          <w:rFonts w:asciiTheme="minorHAnsi" w:hAnsiTheme="minorHAnsi" w:cs="Arial"/>
          <w:color w:val="000000"/>
        </w:rPr>
      </w:pPr>
      <w:r w:rsidRPr="00216069">
        <w:rPr>
          <w:rFonts w:asciiTheme="minorHAnsi" w:hAnsiTheme="minorHAnsi" w:cs="Arial"/>
          <w:color w:val="000000"/>
        </w:rPr>
        <w:t>Prevention of relapse of gastric ulcers</w:t>
      </w:r>
    </w:p>
    <w:p w14:paraId="5830E7D0" w14:textId="77777777" w:rsidR="00BB0513" w:rsidRPr="00216069" w:rsidRDefault="00BB0513" w:rsidP="0046439E">
      <w:pPr>
        <w:pStyle w:val="NormalWeb"/>
        <w:numPr>
          <w:ilvl w:val="0"/>
          <w:numId w:val="17"/>
        </w:numPr>
        <w:shd w:val="clear" w:color="auto" w:fill="FFFFFF"/>
        <w:spacing w:before="0" w:beforeAutospacing="0" w:after="143" w:afterAutospacing="0" w:line="276" w:lineRule="auto"/>
        <w:ind w:left="1071" w:hanging="357"/>
        <w:rPr>
          <w:rFonts w:asciiTheme="minorHAnsi" w:hAnsiTheme="minorHAnsi" w:cs="Arial"/>
          <w:color w:val="000000"/>
        </w:rPr>
      </w:pPr>
      <w:r w:rsidRPr="00216069">
        <w:rPr>
          <w:rFonts w:asciiTheme="minorHAnsi" w:hAnsiTheme="minorHAnsi" w:cs="Arial"/>
          <w:color w:val="000000"/>
        </w:rPr>
        <w:t>In combination with appropriate antibiotics, </w:t>
      </w:r>
      <w:r w:rsidRPr="00216069">
        <w:rPr>
          <w:rFonts w:asciiTheme="minorHAnsi" w:hAnsiTheme="minorHAnsi" w:cs="Arial"/>
          <w:i/>
          <w:iCs/>
          <w:color w:val="000000"/>
        </w:rPr>
        <w:t xml:space="preserve">Helicobacter pylori </w:t>
      </w:r>
      <w:r w:rsidRPr="00216069">
        <w:rPr>
          <w:rFonts w:asciiTheme="minorHAnsi" w:hAnsiTheme="minorHAnsi" w:cs="Arial"/>
          <w:color w:val="000000"/>
        </w:rPr>
        <w:t>eradication in peptic ulcer disease</w:t>
      </w:r>
    </w:p>
    <w:p w14:paraId="6739F3FF" w14:textId="77777777" w:rsidR="00BB0513" w:rsidRPr="00216069" w:rsidRDefault="00BB0513" w:rsidP="0046439E">
      <w:pPr>
        <w:pStyle w:val="NormalWeb"/>
        <w:numPr>
          <w:ilvl w:val="0"/>
          <w:numId w:val="17"/>
        </w:numPr>
        <w:shd w:val="clear" w:color="auto" w:fill="FFFFFF"/>
        <w:spacing w:before="0" w:beforeAutospacing="0" w:after="143" w:afterAutospacing="0" w:line="276" w:lineRule="auto"/>
        <w:ind w:left="1071" w:hanging="357"/>
        <w:rPr>
          <w:rFonts w:asciiTheme="minorHAnsi" w:hAnsiTheme="minorHAnsi" w:cs="Arial"/>
          <w:color w:val="000000"/>
        </w:rPr>
      </w:pPr>
      <w:r w:rsidRPr="00216069">
        <w:rPr>
          <w:rFonts w:asciiTheme="minorHAnsi" w:hAnsiTheme="minorHAnsi" w:cs="Arial"/>
          <w:color w:val="000000"/>
        </w:rPr>
        <w:t>Treatment of NSAID-associated gastric and duodenal ulcers</w:t>
      </w:r>
    </w:p>
    <w:p w14:paraId="35526AE2" w14:textId="77777777" w:rsidR="00BB0513" w:rsidRPr="00216069" w:rsidRDefault="00BB0513" w:rsidP="0046439E">
      <w:pPr>
        <w:pStyle w:val="NormalWeb"/>
        <w:numPr>
          <w:ilvl w:val="0"/>
          <w:numId w:val="17"/>
        </w:numPr>
        <w:shd w:val="clear" w:color="auto" w:fill="FFFFFF"/>
        <w:spacing w:before="0" w:beforeAutospacing="0" w:after="143" w:afterAutospacing="0" w:line="276" w:lineRule="auto"/>
        <w:ind w:left="1071" w:hanging="357"/>
        <w:rPr>
          <w:rFonts w:asciiTheme="minorHAnsi" w:hAnsiTheme="minorHAnsi" w:cs="Arial"/>
          <w:color w:val="000000"/>
        </w:rPr>
      </w:pPr>
      <w:r w:rsidRPr="00216069">
        <w:rPr>
          <w:rFonts w:asciiTheme="minorHAnsi" w:hAnsiTheme="minorHAnsi" w:cs="Arial"/>
          <w:color w:val="000000"/>
        </w:rPr>
        <w:t>Prevention of NSAID-associated gastric and duodenal ulcers in patients at risk</w:t>
      </w:r>
    </w:p>
    <w:p w14:paraId="35DB337F" w14:textId="77777777" w:rsidR="00BB0513" w:rsidRPr="00216069" w:rsidRDefault="00BB0513" w:rsidP="0046439E">
      <w:pPr>
        <w:pStyle w:val="NormalWeb"/>
        <w:numPr>
          <w:ilvl w:val="0"/>
          <w:numId w:val="17"/>
        </w:numPr>
        <w:shd w:val="clear" w:color="auto" w:fill="FFFFFF"/>
        <w:spacing w:before="0" w:beforeAutospacing="0" w:after="143" w:afterAutospacing="0" w:line="276" w:lineRule="auto"/>
        <w:ind w:left="1071" w:hanging="357"/>
        <w:rPr>
          <w:rFonts w:asciiTheme="minorHAnsi" w:hAnsiTheme="minorHAnsi" w:cs="Arial"/>
          <w:color w:val="000000"/>
        </w:rPr>
      </w:pPr>
      <w:r w:rsidRPr="00216069">
        <w:rPr>
          <w:rFonts w:asciiTheme="minorHAnsi" w:hAnsiTheme="minorHAnsi" w:cs="Arial"/>
          <w:color w:val="000000"/>
        </w:rPr>
        <w:t>Treatment of reflux oesophagitis</w:t>
      </w:r>
    </w:p>
    <w:p w14:paraId="35536F58" w14:textId="77777777" w:rsidR="00BB0513" w:rsidRPr="00216069" w:rsidRDefault="00BB0513" w:rsidP="0046439E">
      <w:pPr>
        <w:pStyle w:val="NormalWeb"/>
        <w:numPr>
          <w:ilvl w:val="0"/>
          <w:numId w:val="17"/>
        </w:numPr>
        <w:shd w:val="clear" w:color="auto" w:fill="FFFFFF"/>
        <w:spacing w:before="0" w:beforeAutospacing="0" w:after="143" w:afterAutospacing="0" w:line="276" w:lineRule="auto"/>
        <w:ind w:left="1071" w:hanging="357"/>
        <w:rPr>
          <w:rFonts w:asciiTheme="minorHAnsi" w:hAnsiTheme="minorHAnsi" w:cs="Arial"/>
          <w:color w:val="000000"/>
        </w:rPr>
      </w:pPr>
      <w:r w:rsidRPr="00216069">
        <w:rPr>
          <w:rFonts w:asciiTheme="minorHAnsi" w:hAnsiTheme="minorHAnsi" w:cs="Arial"/>
          <w:color w:val="000000"/>
        </w:rPr>
        <w:t>Long-term management of patients with healed reflux oesophagitis</w:t>
      </w:r>
    </w:p>
    <w:p w14:paraId="5CE3657F" w14:textId="77777777" w:rsidR="00BB0513" w:rsidRPr="00216069" w:rsidRDefault="00BB0513" w:rsidP="0046439E">
      <w:pPr>
        <w:pStyle w:val="NormalWeb"/>
        <w:numPr>
          <w:ilvl w:val="0"/>
          <w:numId w:val="17"/>
        </w:numPr>
        <w:shd w:val="clear" w:color="auto" w:fill="FFFFFF"/>
        <w:spacing w:before="0" w:beforeAutospacing="0" w:after="143" w:afterAutospacing="0" w:line="276" w:lineRule="auto"/>
        <w:ind w:left="1071" w:hanging="357"/>
        <w:rPr>
          <w:rFonts w:asciiTheme="minorHAnsi" w:hAnsiTheme="minorHAnsi" w:cs="Arial"/>
          <w:color w:val="000000"/>
        </w:rPr>
      </w:pPr>
      <w:r w:rsidRPr="00216069">
        <w:rPr>
          <w:rFonts w:asciiTheme="minorHAnsi" w:hAnsiTheme="minorHAnsi" w:cs="Arial"/>
          <w:color w:val="000000"/>
        </w:rPr>
        <w:t>Treatment of symptomatic gastro-oesophageal reflux disease</w:t>
      </w:r>
    </w:p>
    <w:p w14:paraId="1AB9B3DF" w14:textId="77777777" w:rsidR="00BB0513" w:rsidRPr="00216069" w:rsidRDefault="00BB0513" w:rsidP="0046439E">
      <w:pPr>
        <w:pStyle w:val="NormalWeb"/>
        <w:numPr>
          <w:ilvl w:val="0"/>
          <w:numId w:val="17"/>
        </w:numPr>
        <w:shd w:val="clear" w:color="auto" w:fill="FFFFFF"/>
        <w:spacing w:before="0" w:beforeAutospacing="0" w:after="143" w:afterAutospacing="0" w:line="276" w:lineRule="auto"/>
        <w:ind w:left="1071" w:hanging="357"/>
        <w:rPr>
          <w:rFonts w:asciiTheme="minorHAnsi" w:hAnsiTheme="minorHAnsi" w:cs="Arial"/>
          <w:color w:val="000000"/>
        </w:rPr>
      </w:pPr>
      <w:r w:rsidRPr="00216069">
        <w:rPr>
          <w:rFonts w:asciiTheme="minorHAnsi" w:hAnsiTheme="minorHAnsi" w:cs="Arial"/>
          <w:color w:val="000000"/>
        </w:rPr>
        <w:t>Treatment of Zollinger-Ellison syndrome</w:t>
      </w:r>
    </w:p>
    <w:p w14:paraId="613639B7" w14:textId="77777777" w:rsidR="00BB0513" w:rsidRPr="00216069" w:rsidRDefault="00BB0513" w:rsidP="006E5361">
      <w:pPr>
        <w:pStyle w:val="NormalWeb"/>
        <w:shd w:val="clear" w:color="auto" w:fill="FFFFFF"/>
        <w:spacing w:before="0" w:beforeAutospacing="0" w:after="143" w:afterAutospacing="0" w:line="360" w:lineRule="auto"/>
        <w:rPr>
          <w:rFonts w:asciiTheme="minorHAnsi" w:hAnsiTheme="minorHAnsi" w:cs="Arial"/>
          <w:color w:val="000000"/>
          <w:u w:val="single"/>
        </w:rPr>
      </w:pPr>
    </w:p>
    <w:p w14:paraId="6A643A3F"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4.2 </w:t>
      </w:r>
      <w:r w:rsidR="00AE30FE" w:rsidRPr="00216069">
        <w:rPr>
          <w:rFonts w:asciiTheme="minorHAnsi" w:hAnsiTheme="minorHAnsi"/>
          <w:b/>
          <w:lang w:val="en-GB"/>
        </w:rPr>
        <w:t>Posology and mode of administration</w:t>
      </w:r>
    </w:p>
    <w:p w14:paraId="11B23B5D" w14:textId="77777777" w:rsidR="0011316A"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4.2.1 </w:t>
      </w:r>
      <w:r w:rsidR="0011316A" w:rsidRPr="00216069">
        <w:rPr>
          <w:rFonts w:asciiTheme="minorHAnsi" w:hAnsiTheme="minorHAnsi"/>
          <w:b/>
          <w:lang w:val="en-GB"/>
        </w:rPr>
        <w:t>Posology</w:t>
      </w:r>
    </w:p>
    <w:p w14:paraId="27D64361" w14:textId="02D9AC11" w:rsidR="005E08EF" w:rsidRPr="00216069" w:rsidRDefault="003A67E9" w:rsidP="00B02B45">
      <w:pPr>
        <w:pStyle w:val="NormalWeb"/>
        <w:shd w:val="clear" w:color="auto" w:fill="FFFFFF"/>
        <w:spacing w:before="0" w:beforeAutospacing="0" w:after="143" w:afterAutospacing="0" w:line="360" w:lineRule="auto"/>
        <w:ind w:left="720"/>
        <w:rPr>
          <w:rFonts w:asciiTheme="minorHAnsi" w:hAnsiTheme="minorHAnsi" w:cs="Arial"/>
          <w:iCs/>
          <w:color w:val="000000"/>
        </w:rPr>
      </w:pPr>
      <w:r w:rsidRPr="00216069">
        <w:rPr>
          <w:rFonts w:asciiTheme="minorHAnsi" w:hAnsiTheme="minorHAnsi" w:cs="Arial"/>
          <w:b/>
          <w:iCs/>
          <w:color w:val="000000"/>
          <w:u w:val="single"/>
        </w:rPr>
        <w:t>Adults:</w:t>
      </w:r>
      <w:r w:rsidR="00B02B45" w:rsidRPr="00216069">
        <w:rPr>
          <w:rFonts w:asciiTheme="minorHAnsi" w:hAnsiTheme="minorHAnsi" w:cs="Arial"/>
          <w:b/>
          <w:iCs/>
          <w:color w:val="000000"/>
        </w:rPr>
        <w:t xml:space="preserve"> </w:t>
      </w:r>
      <w:r w:rsidR="005E08EF" w:rsidRPr="00216069">
        <w:rPr>
          <w:rFonts w:asciiTheme="minorHAnsi" w:hAnsiTheme="minorHAnsi" w:cs="Arial"/>
          <w:iCs/>
          <w:color w:val="000000"/>
        </w:rPr>
        <w:t>alternative to oral therapy.</w:t>
      </w:r>
    </w:p>
    <w:p w14:paraId="61E39E6D" w14:textId="71050EA6" w:rsidR="005E08EF" w:rsidRPr="00216069" w:rsidRDefault="005E08EF" w:rsidP="00B02B45">
      <w:pPr>
        <w:pStyle w:val="ListParagraph"/>
        <w:numPr>
          <w:ilvl w:val="0"/>
          <w:numId w:val="24"/>
        </w:numPr>
        <w:spacing w:after="0" w:line="360" w:lineRule="auto"/>
        <w:ind w:left="1146"/>
        <w:rPr>
          <w:rFonts w:asciiTheme="minorHAnsi" w:hAnsiTheme="minorHAnsi" w:cs="Arial"/>
          <w:iCs/>
          <w:color w:val="000000"/>
          <w:kern w:val="0"/>
          <w:lang w:val="en-GB" w:eastAsia="en-GB"/>
        </w:rPr>
      </w:pPr>
      <w:r w:rsidRPr="00216069">
        <w:rPr>
          <w:rFonts w:asciiTheme="minorHAnsi" w:hAnsiTheme="minorHAnsi" w:cs="Arial"/>
          <w:iCs/>
          <w:color w:val="000000"/>
          <w:kern w:val="0"/>
          <w:lang w:val="en-GB" w:eastAsia="en-GB"/>
        </w:rPr>
        <w:t xml:space="preserve">In patients for whom the oral route is not appropriate, 40 mg of </w:t>
      </w:r>
      <w:proofErr w:type="spellStart"/>
      <w:r w:rsidRPr="00216069">
        <w:rPr>
          <w:rFonts w:asciiTheme="minorHAnsi" w:hAnsiTheme="minorHAnsi" w:cs="Arial"/>
          <w:iCs/>
          <w:color w:val="000000"/>
          <w:kern w:val="0"/>
          <w:lang w:val="en-GB" w:eastAsia="en-GB"/>
        </w:rPr>
        <w:t>Dafrazol</w:t>
      </w:r>
      <w:proofErr w:type="spellEnd"/>
      <w:r w:rsidRPr="00216069">
        <w:rPr>
          <w:rFonts w:asciiTheme="minorHAnsi" w:hAnsiTheme="minorHAnsi" w:cs="Arial"/>
          <w:iCs/>
          <w:color w:val="000000"/>
          <w:kern w:val="0"/>
          <w:lang w:val="en-GB" w:eastAsia="en-GB"/>
        </w:rPr>
        <w:t xml:space="preserve"> IV is recommended once daily.</w:t>
      </w:r>
    </w:p>
    <w:p w14:paraId="7441B2A8" w14:textId="77777777" w:rsidR="005E08EF" w:rsidRPr="00216069" w:rsidRDefault="005E08EF" w:rsidP="00B02B45">
      <w:pPr>
        <w:pStyle w:val="ListParagraph"/>
        <w:numPr>
          <w:ilvl w:val="0"/>
          <w:numId w:val="24"/>
        </w:numPr>
        <w:spacing w:after="0" w:line="360" w:lineRule="auto"/>
        <w:ind w:left="1146"/>
        <w:rPr>
          <w:rFonts w:asciiTheme="minorHAnsi" w:hAnsiTheme="minorHAnsi" w:cs="Arial"/>
          <w:iCs/>
          <w:color w:val="000000"/>
          <w:kern w:val="0"/>
          <w:lang w:val="en-GB" w:eastAsia="en-GB"/>
        </w:rPr>
      </w:pPr>
      <w:r w:rsidRPr="00216069">
        <w:rPr>
          <w:rFonts w:asciiTheme="minorHAnsi" w:hAnsiTheme="minorHAnsi" w:cs="Arial"/>
          <w:iCs/>
          <w:color w:val="000000"/>
          <w:kern w:val="0"/>
          <w:lang w:val="en-GB" w:eastAsia="en-GB"/>
        </w:rPr>
        <w:t xml:space="preserve">In patients with Zollinger-Ellison syndrome, the recommended initial dose of intravenous </w:t>
      </w:r>
      <w:proofErr w:type="spellStart"/>
      <w:r w:rsidRPr="00216069">
        <w:rPr>
          <w:rFonts w:asciiTheme="minorHAnsi" w:hAnsiTheme="minorHAnsi" w:cs="Arial"/>
          <w:iCs/>
          <w:color w:val="000000"/>
          <w:kern w:val="0"/>
          <w:lang w:val="en-GB" w:eastAsia="en-GB"/>
        </w:rPr>
        <w:t>Dafrazol</w:t>
      </w:r>
      <w:proofErr w:type="spellEnd"/>
      <w:r w:rsidRPr="00216069">
        <w:rPr>
          <w:rFonts w:asciiTheme="minorHAnsi" w:hAnsiTheme="minorHAnsi" w:cs="Arial"/>
          <w:iCs/>
          <w:color w:val="000000"/>
          <w:kern w:val="0"/>
          <w:lang w:val="en-GB" w:eastAsia="en-GB"/>
        </w:rPr>
        <w:t xml:space="preserve"> IV is 60 mg daily.</w:t>
      </w:r>
    </w:p>
    <w:p w14:paraId="176FC8ED" w14:textId="5E05BB5C" w:rsidR="005E08EF" w:rsidRPr="00216069" w:rsidRDefault="005E08EF" w:rsidP="00B02B45">
      <w:pPr>
        <w:pStyle w:val="ListParagraph"/>
        <w:numPr>
          <w:ilvl w:val="0"/>
          <w:numId w:val="24"/>
        </w:numPr>
        <w:spacing w:after="0" w:line="360" w:lineRule="auto"/>
        <w:ind w:left="1146"/>
        <w:rPr>
          <w:rFonts w:asciiTheme="minorHAnsi" w:hAnsiTheme="minorHAnsi" w:cs="Arial"/>
          <w:iCs/>
          <w:color w:val="000000"/>
          <w:kern w:val="0"/>
          <w:lang w:val="en-GB" w:eastAsia="en-GB"/>
        </w:rPr>
      </w:pPr>
      <w:r w:rsidRPr="00216069">
        <w:rPr>
          <w:rFonts w:asciiTheme="minorHAnsi" w:hAnsiTheme="minorHAnsi" w:cs="Arial"/>
          <w:iCs/>
          <w:color w:val="000000"/>
          <w:kern w:val="0"/>
          <w:lang w:val="en-GB" w:eastAsia="en-GB"/>
        </w:rPr>
        <w:t xml:space="preserve">Higher daily doses may be necessary and an individual dose adjustment should be made. </w:t>
      </w:r>
      <w:r w:rsidR="005413F6" w:rsidRPr="00216069">
        <w:rPr>
          <w:rFonts w:asciiTheme="minorHAnsi" w:hAnsiTheme="minorHAnsi" w:cs="Arial"/>
          <w:iCs/>
          <w:color w:val="000000"/>
          <w:kern w:val="0"/>
          <w:lang w:val="en-GB" w:eastAsia="en-GB"/>
        </w:rPr>
        <w:t>When the required dose exceeds</w:t>
      </w:r>
      <w:r w:rsidRPr="00216069">
        <w:rPr>
          <w:rFonts w:asciiTheme="minorHAnsi" w:hAnsiTheme="minorHAnsi" w:cs="Arial"/>
          <w:iCs/>
          <w:color w:val="000000"/>
          <w:kern w:val="0"/>
          <w:lang w:val="en-GB" w:eastAsia="en-GB"/>
        </w:rPr>
        <w:t xml:space="preserve"> 60 mg daily, the dose should be divided into two daily doses.</w:t>
      </w:r>
    </w:p>
    <w:p w14:paraId="367BE32C" w14:textId="77777777" w:rsidR="005E08EF" w:rsidRPr="00216069" w:rsidRDefault="005E08EF" w:rsidP="00B02B45">
      <w:pPr>
        <w:spacing w:after="0" w:line="360" w:lineRule="auto"/>
        <w:ind w:left="720"/>
        <w:rPr>
          <w:rFonts w:asciiTheme="minorHAnsi" w:eastAsia="Times New Roman" w:hAnsiTheme="minorHAnsi" w:cs="Arial"/>
          <w:iCs/>
          <w:color w:val="000000"/>
          <w:kern w:val="0"/>
          <w:lang w:val="en-GB" w:eastAsia="en-GB"/>
        </w:rPr>
      </w:pPr>
    </w:p>
    <w:p w14:paraId="49C6D5DE" w14:textId="77777777" w:rsidR="005E08EF" w:rsidRPr="00216069" w:rsidRDefault="005E08EF" w:rsidP="005E08EF">
      <w:pPr>
        <w:spacing w:after="0" w:line="360" w:lineRule="auto"/>
        <w:rPr>
          <w:rFonts w:asciiTheme="minorHAnsi" w:hAnsiTheme="minorHAnsi"/>
          <w:b/>
          <w:lang w:val="en-GB"/>
        </w:rPr>
      </w:pPr>
      <w:r w:rsidRPr="00216069">
        <w:rPr>
          <w:rFonts w:asciiTheme="minorHAnsi" w:hAnsiTheme="minorHAnsi"/>
          <w:b/>
          <w:lang w:val="en-GB"/>
        </w:rPr>
        <w:t>4.2.2 Special populations</w:t>
      </w:r>
    </w:p>
    <w:p w14:paraId="6C07790B" w14:textId="2089E1FB" w:rsidR="005E08EF" w:rsidRPr="00216069" w:rsidRDefault="00246BB3" w:rsidP="00246BB3">
      <w:pPr>
        <w:spacing w:after="0" w:line="360" w:lineRule="auto"/>
        <w:ind w:left="720"/>
        <w:rPr>
          <w:rFonts w:asciiTheme="minorHAnsi" w:eastAsia="Times New Roman" w:hAnsiTheme="minorHAnsi" w:cs="Arial"/>
          <w:b/>
          <w:i/>
          <w:color w:val="000000"/>
          <w:kern w:val="0"/>
          <w:lang w:val="en-GB" w:eastAsia="en-GB"/>
        </w:rPr>
      </w:pPr>
      <w:r w:rsidRPr="00216069">
        <w:rPr>
          <w:rFonts w:asciiTheme="minorHAnsi" w:eastAsia="Times New Roman" w:hAnsiTheme="minorHAnsi" w:cs="Arial"/>
          <w:b/>
          <w:i/>
          <w:color w:val="000000"/>
          <w:kern w:val="0"/>
          <w:lang w:val="en-GB" w:eastAsia="en-GB"/>
        </w:rPr>
        <w:t>Impaired renal function</w:t>
      </w:r>
    </w:p>
    <w:p w14:paraId="75BB7B33" w14:textId="204197FB" w:rsidR="005E08EF" w:rsidRPr="00216069" w:rsidRDefault="005E08EF" w:rsidP="00246BB3">
      <w:pPr>
        <w:spacing w:after="0" w:line="360" w:lineRule="auto"/>
        <w:ind w:left="720"/>
        <w:rPr>
          <w:rFonts w:asciiTheme="minorHAnsi" w:eastAsia="Times New Roman" w:hAnsiTheme="minorHAnsi" w:cs="Arial"/>
          <w:iCs/>
          <w:color w:val="000000"/>
          <w:kern w:val="0"/>
          <w:lang w:val="en-GB" w:eastAsia="en-GB"/>
        </w:rPr>
      </w:pPr>
      <w:r w:rsidRPr="00216069">
        <w:rPr>
          <w:rFonts w:asciiTheme="minorHAnsi" w:eastAsia="Times New Roman" w:hAnsiTheme="minorHAnsi" w:cs="Arial"/>
          <w:iCs/>
          <w:color w:val="000000"/>
          <w:kern w:val="0"/>
          <w:lang w:val="en-GB" w:eastAsia="en-GB"/>
        </w:rPr>
        <w:t xml:space="preserve">No dosage adjustment is necessary in case of </w:t>
      </w:r>
      <w:r w:rsidR="00911058" w:rsidRPr="00216069">
        <w:rPr>
          <w:rFonts w:asciiTheme="minorHAnsi" w:eastAsia="Times New Roman" w:hAnsiTheme="minorHAnsi" w:cs="Arial"/>
          <w:iCs/>
          <w:color w:val="000000"/>
          <w:kern w:val="0"/>
          <w:lang w:val="en-GB" w:eastAsia="en-GB"/>
        </w:rPr>
        <w:t xml:space="preserve">renal </w:t>
      </w:r>
      <w:r w:rsidRPr="00216069">
        <w:rPr>
          <w:rFonts w:asciiTheme="minorHAnsi" w:eastAsia="Times New Roman" w:hAnsiTheme="minorHAnsi" w:cs="Arial"/>
          <w:iCs/>
          <w:color w:val="000000"/>
          <w:kern w:val="0"/>
          <w:lang w:val="en-GB" w:eastAsia="en-GB"/>
        </w:rPr>
        <w:t>insufficiency.</w:t>
      </w:r>
    </w:p>
    <w:p w14:paraId="34725C6C" w14:textId="56CAA4A8" w:rsidR="005E08EF" w:rsidRPr="00216069" w:rsidRDefault="00246BB3" w:rsidP="00246BB3">
      <w:pPr>
        <w:spacing w:after="0" w:line="360" w:lineRule="auto"/>
        <w:ind w:left="720"/>
        <w:rPr>
          <w:rFonts w:asciiTheme="minorHAnsi" w:eastAsia="Times New Roman" w:hAnsiTheme="minorHAnsi" w:cs="Arial"/>
          <w:b/>
          <w:i/>
          <w:color w:val="000000"/>
          <w:kern w:val="0"/>
          <w:lang w:val="en-GB" w:eastAsia="en-GB"/>
        </w:rPr>
      </w:pPr>
      <w:r w:rsidRPr="00216069">
        <w:rPr>
          <w:rFonts w:asciiTheme="minorHAnsi" w:eastAsia="Times New Roman" w:hAnsiTheme="minorHAnsi" w:cs="Arial"/>
          <w:b/>
          <w:i/>
          <w:color w:val="000000"/>
          <w:kern w:val="0"/>
          <w:lang w:val="en-GB" w:eastAsia="en-GB"/>
        </w:rPr>
        <w:t>Impaired h</w:t>
      </w:r>
      <w:r w:rsidR="005E08EF" w:rsidRPr="00216069">
        <w:rPr>
          <w:rFonts w:asciiTheme="minorHAnsi" w:eastAsia="Times New Roman" w:hAnsiTheme="minorHAnsi" w:cs="Arial"/>
          <w:b/>
          <w:i/>
          <w:color w:val="000000"/>
          <w:kern w:val="0"/>
          <w:lang w:val="en-GB" w:eastAsia="en-GB"/>
        </w:rPr>
        <w:t xml:space="preserve">epatic </w:t>
      </w:r>
      <w:r w:rsidRPr="00216069">
        <w:rPr>
          <w:rFonts w:asciiTheme="minorHAnsi" w:eastAsia="Times New Roman" w:hAnsiTheme="minorHAnsi" w:cs="Arial"/>
          <w:b/>
          <w:i/>
          <w:color w:val="000000"/>
          <w:kern w:val="0"/>
          <w:lang w:val="en-GB" w:eastAsia="en-GB"/>
        </w:rPr>
        <w:t>function</w:t>
      </w:r>
    </w:p>
    <w:p w14:paraId="22506FAE" w14:textId="77777777" w:rsidR="005E08EF" w:rsidRPr="00216069" w:rsidRDefault="005E08EF" w:rsidP="00246BB3">
      <w:pPr>
        <w:spacing w:after="0" w:line="360" w:lineRule="auto"/>
        <w:ind w:left="720"/>
        <w:rPr>
          <w:rFonts w:asciiTheme="minorHAnsi" w:eastAsia="Times New Roman" w:hAnsiTheme="minorHAnsi" w:cs="Arial"/>
          <w:iCs/>
          <w:color w:val="000000"/>
          <w:kern w:val="0"/>
          <w:lang w:val="en-GB" w:eastAsia="en-GB"/>
        </w:rPr>
      </w:pPr>
      <w:r w:rsidRPr="00216069">
        <w:rPr>
          <w:rFonts w:asciiTheme="minorHAnsi" w:eastAsia="Times New Roman" w:hAnsiTheme="minorHAnsi" w:cs="Arial"/>
          <w:iCs/>
          <w:color w:val="000000"/>
          <w:kern w:val="0"/>
          <w:lang w:val="en-GB" w:eastAsia="en-GB"/>
        </w:rPr>
        <w:t>A daily dose of 10 mg-20 mg may be sufficient in patients with hepatic impairment.</w:t>
      </w:r>
    </w:p>
    <w:p w14:paraId="02D934E4" w14:textId="77777777" w:rsidR="005E08EF" w:rsidRPr="00216069" w:rsidRDefault="005E08EF" w:rsidP="00246BB3">
      <w:pPr>
        <w:spacing w:after="0" w:line="360" w:lineRule="auto"/>
        <w:ind w:left="720"/>
        <w:rPr>
          <w:rFonts w:asciiTheme="minorHAnsi" w:eastAsia="Times New Roman" w:hAnsiTheme="minorHAnsi" w:cs="Arial"/>
          <w:b/>
          <w:i/>
          <w:color w:val="000000"/>
          <w:kern w:val="0"/>
          <w:lang w:val="en-GB" w:eastAsia="en-GB"/>
        </w:rPr>
      </w:pPr>
      <w:r w:rsidRPr="00216069">
        <w:rPr>
          <w:rFonts w:asciiTheme="minorHAnsi" w:eastAsia="Times New Roman" w:hAnsiTheme="minorHAnsi" w:cs="Arial"/>
          <w:b/>
          <w:i/>
          <w:color w:val="000000"/>
          <w:kern w:val="0"/>
          <w:lang w:val="en-GB" w:eastAsia="en-GB"/>
        </w:rPr>
        <w:t>Elderly</w:t>
      </w:r>
    </w:p>
    <w:p w14:paraId="61CEB7AA" w14:textId="77777777" w:rsidR="005E08EF" w:rsidRPr="00216069" w:rsidRDefault="005E08EF" w:rsidP="00246BB3">
      <w:pPr>
        <w:spacing w:after="0" w:line="360" w:lineRule="auto"/>
        <w:ind w:left="720"/>
        <w:rPr>
          <w:rFonts w:asciiTheme="minorHAnsi" w:eastAsia="Times New Roman" w:hAnsiTheme="minorHAnsi" w:cs="Arial"/>
          <w:iCs/>
          <w:color w:val="000000"/>
          <w:kern w:val="0"/>
          <w:lang w:val="en-GB" w:eastAsia="en-GB"/>
        </w:rPr>
      </w:pPr>
      <w:r w:rsidRPr="00216069">
        <w:rPr>
          <w:rFonts w:asciiTheme="minorHAnsi" w:eastAsia="Times New Roman" w:hAnsiTheme="minorHAnsi" w:cs="Arial"/>
          <w:iCs/>
          <w:color w:val="000000"/>
          <w:kern w:val="0"/>
          <w:lang w:val="en-GB" w:eastAsia="en-GB"/>
        </w:rPr>
        <w:t>No dose adjustment is necessary in the elderly.</w:t>
      </w:r>
    </w:p>
    <w:p w14:paraId="19C20CA6" w14:textId="3C4A848C" w:rsidR="00F746C9" w:rsidRPr="00216069" w:rsidRDefault="00F746C9" w:rsidP="006E5361">
      <w:pPr>
        <w:spacing w:after="0" w:line="360" w:lineRule="auto"/>
        <w:rPr>
          <w:rFonts w:asciiTheme="minorHAnsi" w:hAnsiTheme="minorHAnsi"/>
          <w:b/>
          <w:lang w:val="en-GB"/>
        </w:rPr>
      </w:pPr>
      <w:r w:rsidRPr="00216069">
        <w:rPr>
          <w:rFonts w:asciiTheme="minorHAnsi" w:hAnsiTheme="minorHAnsi"/>
          <w:b/>
          <w:lang w:val="en-GB"/>
        </w:rPr>
        <w:t xml:space="preserve">4.2.3 </w:t>
      </w:r>
      <w:r w:rsidR="00911058" w:rsidRPr="00216069">
        <w:rPr>
          <w:rFonts w:asciiTheme="minorHAnsi" w:hAnsiTheme="minorHAnsi"/>
          <w:b/>
          <w:lang w:val="en-GB"/>
        </w:rPr>
        <w:t>Paediatric</w:t>
      </w:r>
      <w:r w:rsidRPr="00216069">
        <w:rPr>
          <w:rFonts w:asciiTheme="minorHAnsi" w:hAnsiTheme="minorHAnsi"/>
          <w:b/>
          <w:lang w:val="en-GB"/>
        </w:rPr>
        <w:t xml:space="preserve"> population</w:t>
      </w:r>
    </w:p>
    <w:p w14:paraId="446BF2A1" w14:textId="652D6D78" w:rsidR="005E08EF" w:rsidRPr="00216069" w:rsidRDefault="005E08EF" w:rsidP="00911058">
      <w:pPr>
        <w:spacing w:after="0" w:line="360" w:lineRule="auto"/>
        <w:ind w:left="720"/>
        <w:rPr>
          <w:rFonts w:asciiTheme="minorHAnsi" w:eastAsia="Times New Roman" w:hAnsiTheme="minorHAnsi" w:cs="Arial"/>
          <w:iCs/>
          <w:color w:val="000000"/>
          <w:kern w:val="0"/>
          <w:lang w:val="en-GB" w:eastAsia="en-GB"/>
        </w:rPr>
      </w:pPr>
      <w:r w:rsidRPr="00216069">
        <w:rPr>
          <w:rFonts w:asciiTheme="minorHAnsi" w:eastAsia="Times New Roman" w:hAnsiTheme="minorHAnsi" w:cs="Arial"/>
          <w:iCs/>
          <w:color w:val="000000"/>
          <w:kern w:val="0"/>
          <w:lang w:val="en-GB" w:eastAsia="en-GB"/>
        </w:rPr>
        <w:t xml:space="preserve">Experience with the use of intravenous </w:t>
      </w:r>
      <w:r w:rsidR="00911058" w:rsidRPr="00216069">
        <w:rPr>
          <w:rFonts w:asciiTheme="minorHAnsi" w:eastAsia="Times New Roman" w:hAnsiTheme="minorHAnsi" w:cs="Arial"/>
          <w:iCs/>
          <w:color w:val="000000"/>
          <w:kern w:val="0"/>
          <w:lang w:val="en-GB" w:eastAsia="en-GB"/>
        </w:rPr>
        <w:t>omeprazole</w:t>
      </w:r>
      <w:r w:rsidRPr="00216069">
        <w:rPr>
          <w:rFonts w:asciiTheme="minorHAnsi" w:eastAsia="Times New Roman" w:hAnsiTheme="minorHAnsi" w:cs="Arial"/>
          <w:iCs/>
          <w:color w:val="000000"/>
          <w:kern w:val="0"/>
          <w:lang w:val="en-GB" w:eastAsia="en-GB"/>
        </w:rPr>
        <w:t xml:space="preserve"> is limited in children.</w:t>
      </w:r>
    </w:p>
    <w:p w14:paraId="6B4630BF" w14:textId="77777777" w:rsidR="00E47717" w:rsidRPr="00216069" w:rsidRDefault="00F746C9" w:rsidP="006E5361">
      <w:pPr>
        <w:shd w:val="clear" w:color="auto" w:fill="FFFFFF"/>
        <w:spacing w:after="143" w:line="360" w:lineRule="auto"/>
        <w:rPr>
          <w:rFonts w:asciiTheme="minorHAnsi" w:eastAsia="Times New Roman" w:hAnsiTheme="minorHAnsi" w:cs="Arial"/>
          <w:b/>
          <w:iCs/>
          <w:color w:val="000000"/>
          <w:kern w:val="0"/>
          <w:lang w:val="en-GB" w:eastAsia="en-GB"/>
        </w:rPr>
      </w:pPr>
      <w:r w:rsidRPr="00216069">
        <w:rPr>
          <w:rFonts w:asciiTheme="minorHAnsi" w:eastAsia="Times New Roman" w:hAnsiTheme="minorHAnsi" w:cs="Arial"/>
          <w:b/>
          <w:iCs/>
          <w:color w:val="000000"/>
          <w:kern w:val="0"/>
          <w:lang w:val="en-GB" w:eastAsia="en-GB"/>
        </w:rPr>
        <w:t xml:space="preserve">4.2.4. </w:t>
      </w:r>
      <w:r w:rsidR="00E47717" w:rsidRPr="00216069">
        <w:rPr>
          <w:rFonts w:asciiTheme="minorHAnsi" w:eastAsia="Times New Roman" w:hAnsiTheme="minorHAnsi" w:cs="Arial"/>
          <w:b/>
          <w:iCs/>
          <w:color w:val="000000"/>
          <w:kern w:val="0"/>
          <w:lang w:val="en-GB" w:eastAsia="en-GB"/>
        </w:rPr>
        <w:t>Method of administration</w:t>
      </w:r>
    </w:p>
    <w:p w14:paraId="7EC91248" w14:textId="776F4D08" w:rsidR="005E08EF" w:rsidRPr="00216069" w:rsidRDefault="005E08EF" w:rsidP="005E08EF">
      <w:pPr>
        <w:pStyle w:val="ListParagraph"/>
        <w:numPr>
          <w:ilvl w:val="0"/>
          <w:numId w:val="25"/>
        </w:numPr>
        <w:spacing w:after="0" w:line="360" w:lineRule="auto"/>
        <w:ind w:left="851"/>
        <w:rPr>
          <w:rFonts w:asciiTheme="minorHAnsi" w:hAnsiTheme="minorHAnsi" w:cs="Arial"/>
          <w:color w:val="000000"/>
          <w:kern w:val="0"/>
          <w:lang w:val="en-GB" w:eastAsia="en-GB"/>
        </w:rPr>
      </w:pPr>
      <w:proofErr w:type="spellStart"/>
      <w:r w:rsidRPr="00216069">
        <w:rPr>
          <w:rFonts w:asciiTheme="minorHAnsi" w:hAnsiTheme="minorHAnsi" w:cs="Arial"/>
          <w:color w:val="000000"/>
          <w:kern w:val="0"/>
          <w:lang w:val="en-GB" w:eastAsia="en-GB"/>
        </w:rPr>
        <w:t>Dafrazol</w:t>
      </w:r>
      <w:proofErr w:type="spellEnd"/>
      <w:r w:rsidRPr="00216069">
        <w:rPr>
          <w:rFonts w:asciiTheme="minorHAnsi" w:hAnsiTheme="minorHAnsi" w:cs="Arial"/>
          <w:color w:val="000000"/>
          <w:kern w:val="0"/>
          <w:lang w:val="en-GB" w:eastAsia="en-GB"/>
        </w:rPr>
        <w:t xml:space="preserve"> IV </w:t>
      </w:r>
      <w:r w:rsidR="002574B2" w:rsidRPr="00216069">
        <w:rPr>
          <w:rFonts w:asciiTheme="minorHAnsi" w:hAnsiTheme="minorHAnsi" w:cs="Arial"/>
          <w:color w:val="000000"/>
          <w:kern w:val="0"/>
          <w:lang w:val="en-GB" w:eastAsia="en-GB"/>
        </w:rPr>
        <w:t xml:space="preserve">powder is reconstituted with the </w:t>
      </w:r>
      <w:proofErr w:type="spellStart"/>
      <w:r w:rsidR="002574B2" w:rsidRPr="00216069">
        <w:rPr>
          <w:rFonts w:asciiTheme="minorHAnsi" w:hAnsiTheme="minorHAnsi" w:cs="Arial"/>
          <w:color w:val="000000"/>
          <w:kern w:val="0"/>
          <w:lang w:val="en-GB" w:eastAsia="en-GB"/>
        </w:rPr>
        <w:t>Dafrazol</w:t>
      </w:r>
      <w:proofErr w:type="spellEnd"/>
      <w:r w:rsidR="002574B2" w:rsidRPr="00216069">
        <w:rPr>
          <w:rFonts w:asciiTheme="minorHAnsi" w:hAnsiTheme="minorHAnsi" w:cs="Arial"/>
          <w:color w:val="000000"/>
          <w:kern w:val="0"/>
          <w:lang w:val="en-GB" w:eastAsia="en-GB"/>
        </w:rPr>
        <w:t xml:space="preserve"> IV solvent to a solution for intravenous </w:t>
      </w:r>
      <w:r w:rsidR="003A67E9" w:rsidRPr="00216069">
        <w:rPr>
          <w:rFonts w:asciiTheme="minorHAnsi" w:hAnsiTheme="minorHAnsi" w:cs="Arial"/>
          <w:color w:val="000000"/>
          <w:kern w:val="0"/>
          <w:lang w:val="en-GB" w:eastAsia="en-GB"/>
        </w:rPr>
        <w:t>injection.</w:t>
      </w:r>
    </w:p>
    <w:p w14:paraId="02CF60F3" w14:textId="2C4949EC" w:rsidR="0011316A" w:rsidRPr="00216069" w:rsidRDefault="005E08EF" w:rsidP="005E08EF">
      <w:pPr>
        <w:pStyle w:val="ListParagraph"/>
        <w:numPr>
          <w:ilvl w:val="0"/>
          <w:numId w:val="25"/>
        </w:numPr>
        <w:spacing w:after="0" w:line="360" w:lineRule="auto"/>
        <w:ind w:left="851"/>
        <w:rPr>
          <w:rFonts w:asciiTheme="minorHAnsi" w:hAnsiTheme="minorHAnsi" w:cs="Arial"/>
          <w:color w:val="000000"/>
          <w:kern w:val="0"/>
          <w:lang w:val="en-GB" w:eastAsia="en-GB"/>
        </w:rPr>
      </w:pPr>
      <w:r w:rsidRPr="00216069">
        <w:rPr>
          <w:rFonts w:asciiTheme="minorHAnsi" w:hAnsiTheme="minorHAnsi" w:cs="Arial"/>
          <w:color w:val="000000"/>
          <w:kern w:val="0"/>
          <w:lang w:val="en-GB" w:eastAsia="en-GB"/>
        </w:rPr>
        <w:t>After reconstitution, the injection should be administered slowly over at least 2 minutes with a maximum flow rate of 4 ml per minute.</w:t>
      </w:r>
    </w:p>
    <w:p w14:paraId="12A5AC2B" w14:textId="6C19ED2E" w:rsidR="002574B2" w:rsidRPr="00216069" w:rsidRDefault="002574B2" w:rsidP="005E08EF">
      <w:pPr>
        <w:pStyle w:val="ListParagraph"/>
        <w:numPr>
          <w:ilvl w:val="0"/>
          <w:numId w:val="25"/>
        </w:numPr>
        <w:spacing w:after="0" w:line="360" w:lineRule="auto"/>
        <w:ind w:left="851"/>
        <w:rPr>
          <w:rFonts w:asciiTheme="minorHAnsi" w:hAnsiTheme="minorHAnsi" w:cs="Arial"/>
          <w:color w:val="000000"/>
          <w:kern w:val="0"/>
          <w:lang w:val="en-GB" w:eastAsia="en-GB"/>
        </w:rPr>
      </w:pPr>
      <w:r w:rsidRPr="00216069">
        <w:rPr>
          <w:rFonts w:asciiTheme="minorHAnsi" w:hAnsiTheme="minorHAnsi" w:cs="Arial"/>
          <w:color w:val="000000"/>
          <w:kern w:val="0"/>
          <w:lang w:val="en-GB" w:eastAsia="en-GB"/>
        </w:rPr>
        <w:t xml:space="preserve">For instructions on reconstitution of the product before </w:t>
      </w:r>
      <w:r w:rsidR="003A67E9" w:rsidRPr="00216069">
        <w:rPr>
          <w:rFonts w:asciiTheme="minorHAnsi" w:hAnsiTheme="minorHAnsi" w:cs="Arial"/>
          <w:color w:val="000000"/>
          <w:kern w:val="0"/>
          <w:lang w:val="en-GB" w:eastAsia="en-GB"/>
        </w:rPr>
        <w:t>administration,</w:t>
      </w:r>
      <w:r w:rsidRPr="00216069">
        <w:rPr>
          <w:rFonts w:asciiTheme="minorHAnsi" w:hAnsiTheme="minorHAnsi" w:cs="Arial"/>
          <w:color w:val="000000"/>
          <w:kern w:val="0"/>
          <w:lang w:val="en-GB" w:eastAsia="en-GB"/>
        </w:rPr>
        <w:t xml:space="preserve"> see section 6.6.</w:t>
      </w:r>
    </w:p>
    <w:p w14:paraId="68C70971" w14:textId="77777777" w:rsidR="005E08EF" w:rsidRPr="00216069" w:rsidRDefault="005E08EF" w:rsidP="005E08EF">
      <w:pPr>
        <w:pStyle w:val="ListParagraph"/>
        <w:spacing w:after="0" w:line="360" w:lineRule="auto"/>
        <w:ind w:left="0"/>
        <w:rPr>
          <w:rFonts w:asciiTheme="minorHAnsi" w:hAnsiTheme="minorHAnsi"/>
          <w:lang w:val="en-GB"/>
        </w:rPr>
      </w:pPr>
    </w:p>
    <w:p w14:paraId="36C2129D"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4.3 </w:t>
      </w:r>
      <w:r w:rsidR="00AE30FE" w:rsidRPr="00216069">
        <w:rPr>
          <w:rFonts w:asciiTheme="minorHAnsi" w:hAnsiTheme="minorHAnsi"/>
          <w:b/>
          <w:lang w:val="en-GB"/>
        </w:rPr>
        <w:t>Contraindications</w:t>
      </w:r>
    </w:p>
    <w:p w14:paraId="1055504D" w14:textId="603C930D" w:rsidR="00E82AEA" w:rsidRPr="00216069" w:rsidRDefault="00E82AEA" w:rsidP="00AE4753">
      <w:pPr>
        <w:pStyle w:val="NormalWeb"/>
        <w:numPr>
          <w:ilvl w:val="0"/>
          <w:numId w:val="19"/>
        </w:numPr>
        <w:shd w:val="clear" w:color="auto" w:fill="FFFFFF"/>
        <w:spacing w:before="0" w:beforeAutospacing="0" w:after="0" w:afterAutospacing="0" w:line="360" w:lineRule="auto"/>
        <w:ind w:left="867" w:hanging="357"/>
        <w:rPr>
          <w:rFonts w:asciiTheme="minorHAnsi" w:hAnsiTheme="minorHAnsi" w:cs="Arial"/>
          <w:color w:val="000000"/>
        </w:rPr>
      </w:pPr>
      <w:r w:rsidRPr="00216069">
        <w:rPr>
          <w:rFonts w:asciiTheme="minorHAnsi" w:hAnsiTheme="minorHAnsi" w:cs="Arial"/>
          <w:color w:val="000000"/>
        </w:rPr>
        <w:t xml:space="preserve">Hypersensitivity to the active substance, </w:t>
      </w:r>
      <w:r w:rsidR="00A87F9C" w:rsidRPr="00216069">
        <w:rPr>
          <w:rFonts w:asciiTheme="minorHAnsi" w:hAnsiTheme="minorHAnsi" w:cs="Arial"/>
          <w:color w:val="000000"/>
        </w:rPr>
        <w:t xml:space="preserve">to </w:t>
      </w:r>
      <w:r w:rsidRPr="00216069">
        <w:rPr>
          <w:rFonts w:asciiTheme="minorHAnsi" w:hAnsiTheme="minorHAnsi" w:cs="Arial"/>
          <w:color w:val="000000"/>
        </w:rPr>
        <w:t>substituted benzimidazoles or to any of the excipients listed in section 6.1.</w:t>
      </w:r>
    </w:p>
    <w:p w14:paraId="33F65A43" w14:textId="77777777" w:rsidR="00E82AEA" w:rsidRPr="00216069" w:rsidRDefault="00E82AEA" w:rsidP="00AE4753">
      <w:pPr>
        <w:pStyle w:val="NormalWeb"/>
        <w:numPr>
          <w:ilvl w:val="0"/>
          <w:numId w:val="19"/>
        </w:numPr>
        <w:shd w:val="clear" w:color="auto" w:fill="FFFFFF"/>
        <w:spacing w:before="0" w:beforeAutospacing="0" w:after="0" w:afterAutospacing="0" w:line="360" w:lineRule="auto"/>
        <w:ind w:left="867" w:hanging="357"/>
        <w:rPr>
          <w:rFonts w:asciiTheme="minorHAnsi" w:hAnsiTheme="minorHAnsi" w:cs="Arial"/>
          <w:color w:val="000000"/>
        </w:rPr>
      </w:pPr>
      <w:r w:rsidRPr="00216069">
        <w:rPr>
          <w:rFonts w:asciiTheme="minorHAnsi" w:hAnsiTheme="minorHAnsi" w:cs="Arial"/>
          <w:color w:val="000000"/>
        </w:rPr>
        <w:t>Omeprazole like other proton pump inhibitors (PPIs) must not be used concomitantly with nelfinavir.</w:t>
      </w:r>
    </w:p>
    <w:p w14:paraId="0CF19057" w14:textId="77777777" w:rsidR="007970DD" w:rsidRPr="00216069" w:rsidRDefault="007970DD" w:rsidP="006E5361">
      <w:pPr>
        <w:pStyle w:val="ListParagraph"/>
        <w:spacing w:after="0" w:line="360" w:lineRule="auto"/>
        <w:ind w:left="0"/>
        <w:rPr>
          <w:rFonts w:asciiTheme="minorHAnsi" w:hAnsiTheme="minorHAnsi"/>
          <w:lang w:val="en-GB"/>
        </w:rPr>
      </w:pPr>
    </w:p>
    <w:p w14:paraId="2A3AFE79"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4.4 </w:t>
      </w:r>
      <w:r w:rsidR="00AE30FE" w:rsidRPr="00216069">
        <w:rPr>
          <w:rFonts w:asciiTheme="minorHAnsi" w:hAnsiTheme="minorHAnsi"/>
          <w:b/>
          <w:lang w:val="en-GB"/>
        </w:rPr>
        <w:t>Special warning and precautions for use</w:t>
      </w:r>
    </w:p>
    <w:p w14:paraId="34412985" w14:textId="6C624D27" w:rsidR="00FD40F1" w:rsidRPr="00216069" w:rsidRDefault="00D914D8" w:rsidP="006E5361">
      <w:pPr>
        <w:spacing w:after="0" w:line="360" w:lineRule="auto"/>
        <w:rPr>
          <w:rFonts w:asciiTheme="minorHAnsi" w:hAnsiTheme="minorHAnsi"/>
          <w:b/>
          <w:lang w:val="en-GB"/>
        </w:rPr>
      </w:pPr>
      <w:r w:rsidRPr="00216069">
        <w:rPr>
          <w:rFonts w:asciiTheme="minorHAnsi" w:hAnsiTheme="minorHAnsi"/>
          <w:b/>
          <w:lang w:val="en-GB"/>
        </w:rPr>
        <w:t>4.4.1</w:t>
      </w:r>
      <w:r w:rsidRPr="00216069">
        <w:rPr>
          <w:rFonts w:asciiTheme="minorHAnsi" w:hAnsiTheme="minorHAnsi"/>
          <w:b/>
          <w:lang w:val="en-GB"/>
        </w:rPr>
        <w:tab/>
        <w:t>General information</w:t>
      </w:r>
    </w:p>
    <w:p w14:paraId="42E2AAAF" w14:textId="77777777" w:rsidR="00E82AEA" w:rsidRPr="00216069" w:rsidRDefault="00E82AEA" w:rsidP="006E5361">
      <w:pPr>
        <w:pStyle w:val="NormalWeb"/>
        <w:numPr>
          <w:ilvl w:val="0"/>
          <w:numId w:val="20"/>
        </w:numPr>
        <w:shd w:val="clear" w:color="auto" w:fill="FFFFFF"/>
        <w:spacing w:before="0" w:beforeAutospacing="0" w:after="143" w:afterAutospacing="0" w:line="360" w:lineRule="auto"/>
        <w:rPr>
          <w:rFonts w:asciiTheme="minorHAnsi" w:hAnsiTheme="minorHAnsi" w:cs="Arial"/>
          <w:color w:val="000000"/>
        </w:rPr>
      </w:pPr>
      <w:r w:rsidRPr="00216069">
        <w:rPr>
          <w:rFonts w:asciiTheme="minorHAnsi" w:hAnsiTheme="minorHAnsi" w:cs="Arial"/>
          <w:color w:val="000000"/>
        </w:rPr>
        <w:t>In the presence of any alarm symptom (e.g. significant unintentional weight loss, recurrent vomiting, dysphagia, haematemesis or melena) and when gastric ulcer is suspected or present, malignancy should be excluded, as treatment may alleviate symptoms and delay diagnosis.</w:t>
      </w:r>
    </w:p>
    <w:p w14:paraId="0CBACD79" w14:textId="77777777" w:rsidR="00E82AEA" w:rsidRPr="00216069" w:rsidRDefault="00E82AEA" w:rsidP="006E5361">
      <w:pPr>
        <w:pStyle w:val="NormalWeb"/>
        <w:numPr>
          <w:ilvl w:val="0"/>
          <w:numId w:val="20"/>
        </w:numPr>
        <w:shd w:val="clear" w:color="auto" w:fill="FFFFFF"/>
        <w:spacing w:before="0" w:beforeAutospacing="0" w:after="143" w:afterAutospacing="0" w:line="360" w:lineRule="auto"/>
        <w:rPr>
          <w:rFonts w:asciiTheme="minorHAnsi" w:hAnsiTheme="minorHAnsi" w:cs="Arial"/>
          <w:color w:val="000000"/>
        </w:rPr>
      </w:pPr>
      <w:r w:rsidRPr="00216069">
        <w:rPr>
          <w:rFonts w:asciiTheme="minorHAnsi" w:hAnsiTheme="minorHAnsi" w:cs="Arial"/>
          <w:color w:val="000000"/>
        </w:rPr>
        <w:lastRenderedPageBreak/>
        <w:t>Co-administration of atazanavir with proton pump inhibitors is not recommended. If the combination of atazanavir with a proton pump inhibitor is judged unavoidable, close clinical monitoring (</w:t>
      </w:r>
      <w:proofErr w:type="spellStart"/>
      <w:r w:rsidRPr="00216069">
        <w:rPr>
          <w:rFonts w:asciiTheme="minorHAnsi" w:hAnsiTheme="minorHAnsi" w:cs="Arial"/>
          <w:color w:val="000000"/>
        </w:rPr>
        <w:t>e.g</w:t>
      </w:r>
      <w:proofErr w:type="spellEnd"/>
      <w:r w:rsidRPr="00216069">
        <w:rPr>
          <w:rFonts w:asciiTheme="minorHAnsi" w:hAnsiTheme="minorHAnsi" w:cs="Arial"/>
          <w:color w:val="000000"/>
        </w:rPr>
        <w:t xml:space="preserve"> virus load) is recommended in combination with an increase in the dose of atazanavir to 400 mg with 100 mg of ritonavir; omeprazole 20 mg should not be exceeded.</w:t>
      </w:r>
    </w:p>
    <w:p w14:paraId="756962E3" w14:textId="77777777" w:rsidR="00E82AEA" w:rsidRPr="00216069" w:rsidRDefault="00E82AEA" w:rsidP="006E5361">
      <w:pPr>
        <w:pStyle w:val="NormalWeb"/>
        <w:numPr>
          <w:ilvl w:val="0"/>
          <w:numId w:val="20"/>
        </w:numPr>
        <w:shd w:val="clear" w:color="auto" w:fill="FFFFFF"/>
        <w:spacing w:before="0" w:beforeAutospacing="0" w:after="143" w:afterAutospacing="0" w:line="360" w:lineRule="auto"/>
        <w:rPr>
          <w:rFonts w:asciiTheme="minorHAnsi" w:hAnsiTheme="minorHAnsi" w:cs="Arial"/>
          <w:color w:val="000000"/>
        </w:rPr>
      </w:pPr>
      <w:r w:rsidRPr="00216069">
        <w:rPr>
          <w:rFonts w:asciiTheme="minorHAnsi" w:hAnsiTheme="minorHAnsi" w:cs="Arial"/>
          <w:color w:val="000000"/>
        </w:rPr>
        <w:t>Omeprazole, as all acid-blocking medicines, may reduce the absorption of vitamin B12 (cyanocobalamin) due to hypo- or achlorhydria. This should be considered in patients with reduced body stores or risk factors for reduced vitamin B12 absorption on long-term therapy.</w:t>
      </w:r>
    </w:p>
    <w:p w14:paraId="670386B0" w14:textId="77777777" w:rsidR="00815AFD" w:rsidRPr="00216069" w:rsidRDefault="00E82AEA" w:rsidP="006E5361">
      <w:pPr>
        <w:pStyle w:val="NormalWeb"/>
        <w:numPr>
          <w:ilvl w:val="0"/>
          <w:numId w:val="20"/>
        </w:numPr>
        <w:shd w:val="clear" w:color="auto" w:fill="FFFFFF"/>
        <w:spacing w:before="0" w:beforeAutospacing="0" w:after="143" w:afterAutospacing="0" w:line="360" w:lineRule="auto"/>
        <w:rPr>
          <w:rFonts w:asciiTheme="minorHAnsi" w:hAnsiTheme="minorHAnsi" w:cs="Arial"/>
          <w:color w:val="000000"/>
        </w:rPr>
      </w:pPr>
      <w:r w:rsidRPr="00216069">
        <w:rPr>
          <w:rFonts w:asciiTheme="minorHAnsi" w:hAnsiTheme="minorHAnsi" w:cs="Arial"/>
          <w:color w:val="000000"/>
        </w:rPr>
        <w:t>Omeprazole is a CYP2C19 inhibitor. When starting or ending treatment with omeprazole, the potential for interactions with drugs metabolised through CYP2C19 should be considered.</w:t>
      </w:r>
    </w:p>
    <w:p w14:paraId="0D530141" w14:textId="77777777" w:rsidR="00E82AEA" w:rsidRPr="00216069" w:rsidRDefault="00E82AEA" w:rsidP="006E5361">
      <w:pPr>
        <w:pStyle w:val="NormalWeb"/>
        <w:numPr>
          <w:ilvl w:val="0"/>
          <w:numId w:val="20"/>
        </w:numPr>
        <w:shd w:val="clear" w:color="auto" w:fill="FFFFFF"/>
        <w:spacing w:before="0" w:beforeAutospacing="0" w:after="143" w:afterAutospacing="0" w:line="360" w:lineRule="auto"/>
        <w:rPr>
          <w:rFonts w:asciiTheme="minorHAnsi" w:hAnsiTheme="minorHAnsi" w:cs="Arial"/>
          <w:color w:val="000000"/>
        </w:rPr>
      </w:pPr>
      <w:r w:rsidRPr="00216069">
        <w:rPr>
          <w:rFonts w:asciiTheme="minorHAnsi" w:hAnsiTheme="minorHAnsi" w:cs="Arial"/>
          <w:color w:val="000000"/>
        </w:rPr>
        <w:t>An interaction is observed between clopidogrel and omeprazole. The clinical relevance of this interaction is uncertain. As a precaution, concomitant use of omeprazole and clopidogrel should be discouraged.</w:t>
      </w:r>
    </w:p>
    <w:p w14:paraId="4463E2FE" w14:textId="77777777" w:rsidR="00650F99" w:rsidRPr="00216069" w:rsidRDefault="00E82AEA" w:rsidP="006E5361">
      <w:pPr>
        <w:pStyle w:val="NormalWeb"/>
        <w:numPr>
          <w:ilvl w:val="0"/>
          <w:numId w:val="20"/>
        </w:numPr>
        <w:shd w:val="clear" w:color="auto" w:fill="FFFFFF"/>
        <w:spacing w:before="0" w:beforeAutospacing="0" w:after="143" w:afterAutospacing="0" w:line="360" w:lineRule="auto"/>
        <w:rPr>
          <w:rFonts w:asciiTheme="minorHAnsi" w:hAnsiTheme="minorHAnsi" w:cs="Arial"/>
          <w:color w:val="000000"/>
        </w:rPr>
      </w:pPr>
      <w:r w:rsidRPr="00216069">
        <w:rPr>
          <w:rFonts w:asciiTheme="minorHAnsi" w:hAnsiTheme="minorHAnsi" w:cs="Arial"/>
          <w:color w:val="000000"/>
        </w:rPr>
        <w:t>Severe hypomagnesaemia has been reported in patients treated with proton pump inhibitors (PPIs) like omeprazole for at least three months, and in most cases for a year. Serious manifestations of hypomagnesaemia such as fatigue, tetany, delirium, convulsions, dizziness and ventricular arrhythmia can occur but they may begin insidiously and be overlooked. In most affected patients, hypomagnesaemia improved after magnesium replacement and discontinuation of the PPI.</w:t>
      </w:r>
      <w:r w:rsidR="00650F99" w:rsidRPr="00216069">
        <w:rPr>
          <w:rFonts w:asciiTheme="minorHAnsi" w:hAnsiTheme="minorHAnsi" w:cs="Arial"/>
          <w:color w:val="000000"/>
        </w:rPr>
        <w:t xml:space="preserve"> Severe hypomagnesaemia may result in hypocalcaemia. Hypomagnesaemia may also be associated with hypokalaemia.</w:t>
      </w:r>
    </w:p>
    <w:p w14:paraId="470815F2" w14:textId="77777777" w:rsidR="00E82AEA" w:rsidRPr="00216069" w:rsidRDefault="00E82AEA" w:rsidP="006E5361">
      <w:pPr>
        <w:pStyle w:val="NormalWeb"/>
        <w:numPr>
          <w:ilvl w:val="0"/>
          <w:numId w:val="20"/>
        </w:numPr>
        <w:shd w:val="clear" w:color="auto" w:fill="FFFFFF"/>
        <w:spacing w:before="0" w:beforeAutospacing="0" w:after="143" w:afterAutospacing="0" w:line="360" w:lineRule="auto"/>
        <w:rPr>
          <w:rFonts w:asciiTheme="minorHAnsi" w:hAnsiTheme="minorHAnsi" w:cs="Arial"/>
          <w:color w:val="000000"/>
        </w:rPr>
      </w:pPr>
      <w:r w:rsidRPr="00216069">
        <w:rPr>
          <w:rFonts w:asciiTheme="minorHAnsi" w:hAnsiTheme="minorHAnsi" w:cs="Arial"/>
          <w:color w:val="000000"/>
        </w:rPr>
        <w:t>For patients expected to be on prolonged treatment or who take PPIs with digoxin or drugs that may cause hypomagnesaemia (e.g. diuretics), healthcare professionals should consider measuring magnesium levels before starting PPI treatment and periodically during treatment.</w:t>
      </w:r>
    </w:p>
    <w:p w14:paraId="1C3EBF6E" w14:textId="77777777" w:rsidR="00815AFD" w:rsidRPr="00216069" w:rsidRDefault="00E82AEA" w:rsidP="006E5361">
      <w:pPr>
        <w:pStyle w:val="NormalWeb"/>
        <w:numPr>
          <w:ilvl w:val="0"/>
          <w:numId w:val="21"/>
        </w:numPr>
        <w:shd w:val="clear" w:color="auto" w:fill="FFFFFF"/>
        <w:spacing w:before="0" w:beforeAutospacing="0" w:after="143" w:afterAutospacing="0" w:line="360" w:lineRule="auto"/>
        <w:rPr>
          <w:rFonts w:asciiTheme="minorHAnsi" w:hAnsiTheme="minorHAnsi" w:cs="Arial"/>
          <w:color w:val="000000"/>
        </w:rPr>
      </w:pPr>
      <w:r w:rsidRPr="00216069">
        <w:rPr>
          <w:rFonts w:asciiTheme="minorHAnsi" w:hAnsiTheme="minorHAnsi" w:cs="Arial"/>
          <w:color w:val="000000"/>
        </w:rPr>
        <w:t xml:space="preserve">Proton pump inhibitors, especially if used in high doses and over long durations (&gt;1 year), may modestly increase the risk of hip, wrist and spine fracture, </w:t>
      </w:r>
      <w:r w:rsidRPr="00216069">
        <w:rPr>
          <w:rFonts w:asciiTheme="minorHAnsi" w:hAnsiTheme="minorHAnsi" w:cs="Arial"/>
          <w:color w:val="000000"/>
        </w:rPr>
        <w:lastRenderedPageBreak/>
        <w:t xml:space="preserve">predominantly in the elderly or in presence of other recognised risk factors. Observational studies suggest that proton pump inhibitors may increase the overall risk of fracture by 10-40%. Some of this increase may be due to other risk factors. </w:t>
      </w:r>
    </w:p>
    <w:p w14:paraId="2E42A29F" w14:textId="77777777" w:rsidR="00E82AEA" w:rsidRPr="00216069" w:rsidRDefault="00E82AEA" w:rsidP="006E5361">
      <w:pPr>
        <w:pStyle w:val="NormalWeb"/>
        <w:numPr>
          <w:ilvl w:val="0"/>
          <w:numId w:val="21"/>
        </w:numPr>
        <w:shd w:val="clear" w:color="auto" w:fill="FFFFFF"/>
        <w:spacing w:before="0" w:beforeAutospacing="0" w:after="143" w:afterAutospacing="0" w:line="360" w:lineRule="auto"/>
        <w:rPr>
          <w:rFonts w:asciiTheme="minorHAnsi" w:hAnsiTheme="minorHAnsi" w:cs="Arial"/>
          <w:color w:val="000000"/>
        </w:rPr>
      </w:pPr>
      <w:r w:rsidRPr="00216069">
        <w:rPr>
          <w:rFonts w:asciiTheme="minorHAnsi" w:hAnsiTheme="minorHAnsi" w:cs="Arial"/>
          <w:color w:val="000000"/>
        </w:rPr>
        <w:t>Patients at risk of osteoporosis should receive care according to current clinical guidelines and they should have an adequate intake of vitamin D and calcium.</w:t>
      </w:r>
    </w:p>
    <w:p w14:paraId="4B2F8F32" w14:textId="38DBBD5D" w:rsidR="00E82AEA" w:rsidRPr="00216069" w:rsidRDefault="00E82AEA" w:rsidP="006E5361">
      <w:pPr>
        <w:pStyle w:val="NormalWeb"/>
        <w:numPr>
          <w:ilvl w:val="0"/>
          <w:numId w:val="21"/>
        </w:numPr>
        <w:shd w:val="clear" w:color="auto" w:fill="FFFFFF"/>
        <w:spacing w:before="0" w:beforeAutospacing="0" w:after="143" w:afterAutospacing="0" w:line="360" w:lineRule="auto"/>
        <w:rPr>
          <w:rFonts w:asciiTheme="minorHAnsi" w:hAnsiTheme="minorHAnsi" w:cs="Arial"/>
          <w:color w:val="000000"/>
        </w:rPr>
      </w:pPr>
      <w:r w:rsidRPr="00216069">
        <w:rPr>
          <w:rFonts w:asciiTheme="minorHAnsi" w:hAnsiTheme="minorHAnsi" w:cs="Arial"/>
          <w:color w:val="000000"/>
        </w:rPr>
        <w:t>Subacute cutaneous lupus erythematosus (SCLE)</w:t>
      </w:r>
      <w:r w:rsidR="00406FB0" w:rsidRPr="00216069">
        <w:rPr>
          <w:rFonts w:asciiTheme="minorHAnsi" w:hAnsiTheme="minorHAnsi" w:cs="Arial"/>
          <w:color w:val="000000"/>
        </w:rPr>
        <w:t xml:space="preserve">. </w:t>
      </w:r>
      <w:r w:rsidRPr="00216069">
        <w:rPr>
          <w:rFonts w:asciiTheme="minorHAnsi" w:hAnsiTheme="minorHAnsi" w:cs="Arial"/>
          <w:color w:val="000000"/>
        </w:rPr>
        <w:t xml:space="preserve">Proton pump inhibitors are associated with very infrequent cases of SCLE. If lesions occur, especially in sun-exposed areas of the skin, and if accompanied by arthralgia, the patient should seek medical help promptly and the health care professional should consider stopping </w:t>
      </w:r>
      <w:proofErr w:type="spellStart"/>
      <w:r w:rsidR="003435D5" w:rsidRPr="00216069">
        <w:rPr>
          <w:rFonts w:asciiTheme="minorHAnsi" w:hAnsiTheme="minorHAnsi" w:cs="Arial"/>
          <w:color w:val="000000"/>
        </w:rPr>
        <w:t>Dafrazol</w:t>
      </w:r>
      <w:proofErr w:type="spellEnd"/>
      <w:r w:rsidR="00721D22" w:rsidRPr="00216069">
        <w:rPr>
          <w:rFonts w:asciiTheme="minorHAnsi" w:hAnsiTheme="minorHAnsi" w:cs="Arial"/>
          <w:color w:val="000000"/>
        </w:rPr>
        <w:t xml:space="preserve"> (omeprazole) treatment</w:t>
      </w:r>
      <w:r w:rsidRPr="00216069">
        <w:rPr>
          <w:rFonts w:asciiTheme="minorHAnsi" w:hAnsiTheme="minorHAnsi" w:cs="Arial"/>
          <w:color w:val="000000"/>
        </w:rPr>
        <w:t>. SCLE after previous treatment with a proton pump inhibitor may increase the risk of SCLE with other proton pump inhibitors.</w:t>
      </w:r>
    </w:p>
    <w:p w14:paraId="7A954395" w14:textId="77777777" w:rsidR="00E82AEA" w:rsidRPr="00216069" w:rsidRDefault="00E82AEA" w:rsidP="006E5361">
      <w:pPr>
        <w:pStyle w:val="NormalWeb"/>
        <w:numPr>
          <w:ilvl w:val="0"/>
          <w:numId w:val="21"/>
        </w:numPr>
        <w:shd w:val="clear" w:color="auto" w:fill="FFFFFF"/>
        <w:spacing w:before="0" w:beforeAutospacing="0" w:after="143" w:afterAutospacing="0" w:line="360" w:lineRule="auto"/>
        <w:rPr>
          <w:rFonts w:asciiTheme="minorHAnsi" w:hAnsiTheme="minorHAnsi" w:cs="Arial"/>
          <w:color w:val="000000"/>
        </w:rPr>
      </w:pPr>
      <w:r w:rsidRPr="00216069">
        <w:rPr>
          <w:rFonts w:asciiTheme="minorHAnsi" w:hAnsiTheme="minorHAnsi" w:cs="Arial"/>
          <w:color w:val="000000"/>
        </w:rPr>
        <w:t>Interference with laboratory tests</w:t>
      </w:r>
      <w:r w:rsidR="00406FB0" w:rsidRPr="00216069">
        <w:rPr>
          <w:rFonts w:asciiTheme="minorHAnsi" w:hAnsiTheme="minorHAnsi" w:cs="Arial"/>
          <w:color w:val="000000"/>
        </w:rPr>
        <w:t xml:space="preserve">. </w:t>
      </w:r>
      <w:r w:rsidRPr="00216069">
        <w:rPr>
          <w:rFonts w:asciiTheme="minorHAnsi" w:hAnsiTheme="minorHAnsi" w:cs="Arial"/>
          <w:color w:val="000000"/>
        </w:rPr>
        <w:t xml:space="preserve">Increased Chromogranin </w:t>
      </w:r>
      <w:proofErr w:type="gramStart"/>
      <w:r w:rsidRPr="00216069">
        <w:rPr>
          <w:rFonts w:asciiTheme="minorHAnsi" w:hAnsiTheme="minorHAnsi" w:cs="Arial"/>
          <w:color w:val="000000"/>
        </w:rPr>
        <w:t>A</w:t>
      </w:r>
      <w:proofErr w:type="gramEnd"/>
      <w:r w:rsidRPr="00216069">
        <w:rPr>
          <w:rFonts w:asciiTheme="minorHAnsi" w:hAnsiTheme="minorHAnsi" w:cs="Arial"/>
          <w:color w:val="000000"/>
        </w:rPr>
        <w:t xml:space="preserve"> (</w:t>
      </w:r>
      <w:proofErr w:type="spellStart"/>
      <w:r w:rsidRPr="00216069">
        <w:rPr>
          <w:rFonts w:asciiTheme="minorHAnsi" w:hAnsiTheme="minorHAnsi" w:cs="Arial"/>
          <w:color w:val="000000"/>
        </w:rPr>
        <w:t>CgA</w:t>
      </w:r>
      <w:proofErr w:type="spellEnd"/>
      <w:r w:rsidRPr="00216069">
        <w:rPr>
          <w:rFonts w:asciiTheme="minorHAnsi" w:hAnsiTheme="minorHAnsi" w:cs="Arial"/>
          <w:color w:val="000000"/>
        </w:rPr>
        <w:t xml:space="preserve">) level may interfere with investigations for neuroendocrine tumours. To avoid this interference, omeprazole treatment should be stopped for at least 5 days before </w:t>
      </w:r>
      <w:proofErr w:type="spellStart"/>
      <w:r w:rsidRPr="00216069">
        <w:rPr>
          <w:rFonts w:asciiTheme="minorHAnsi" w:hAnsiTheme="minorHAnsi" w:cs="Arial"/>
          <w:color w:val="000000"/>
        </w:rPr>
        <w:t>CgA</w:t>
      </w:r>
      <w:proofErr w:type="spellEnd"/>
      <w:r w:rsidRPr="00216069">
        <w:rPr>
          <w:rFonts w:asciiTheme="minorHAnsi" w:hAnsiTheme="minorHAnsi" w:cs="Arial"/>
          <w:color w:val="000000"/>
        </w:rPr>
        <w:t xml:space="preserve"> measurements. If </w:t>
      </w:r>
      <w:proofErr w:type="spellStart"/>
      <w:r w:rsidRPr="00216069">
        <w:rPr>
          <w:rFonts w:asciiTheme="minorHAnsi" w:hAnsiTheme="minorHAnsi" w:cs="Arial"/>
          <w:color w:val="000000"/>
        </w:rPr>
        <w:t>CgA</w:t>
      </w:r>
      <w:proofErr w:type="spellEnd"/>
      <w:r w:rsidRPr="00216069">
        <w:rPr>
          <w:rFonts w:asciiTheme="minorHAnsi" w:hAnsiTheme="minorHAnsi" w:cs="Arial"/>
          <w:color w:val="000000"/>
        </w:rPr>
        <w:t xml:space="preserve"> and gastrin levels have not returned to reference range after initial measurement, measurements should be repeated 14 days after cessation of proton pump inhibitor treatment.</w:t>
      </w:r>
    </w:p>
    <w:p w14:paraId="42AA9529" w14:textId="0E9240F8" w:rsidR="008A0F47" w:rsidRPr="00216069" w:rsidRDefault="008A0F47" w:rsidP="008A0F47">
      <w:pPr>
        <w:spacing w:after="0" w:line="360" w:lineRule="auto"/>
        <w:rPr>
          <w:rFonts w:asciiTheme="minorHAnsi" w:hAnsiTheme="minorHAnsi"/>
          <w:b/>
          <w:lang w:val="en-GB"/>
        </w:rPr>
      </w:pPr>
      <w:r w:rsidRPr="00216069">
        <w:rPr>
          <w:rFonts w:asciiTheme="minorHAnsi" w:hAnsiTheme="minorHAnsi"/>
          <w:b/>
          <w:lang w:val="en-GB"/>
        </w:rPr>
        <w:t>4.4.2</w:t>
      </w:r>
      <w:r w:rsidRPr="00216069">
        <w:rPr>
          <w:rFonts w:asciiTheme="minorHAnsi" w:hAnsiTheme="minorHAnsi"/>
          <w:b/>
          <w:lang w:val="en-GB"/>
        </w:rPr>
        <w:tab/>
        <w:t>Paediatric population</w:t>
      </w:r>
    </w:p>
    <w:p w14:paraId="4B4EA3D7" w14:textId="29BA30FE" w:rsidR="007970DD" w:rsidRPr="00216069" w:rsidRDefault="008A0F47" w:rsidP="008A0F47">
      <w:pPr>
        <w:pStyle w:val="ListParagraph"/>
        <w:spacing w:after="0" w:line="360" w:lineRule="auto"/>
        <w:rPr>
          <w:rFonts w:asciiTheme="minorHAnsi" w:hAnsiTheme="minorHAnsi" w:cs="Arial"/>
          <w:iCs/>
          <w:color w:val="000000"/>
          <w:kern w:val="0"/>
          <w:lang w:val="en-GB" w:eastAsia="en-GB"/>
        </w:rPr>
      </w:pPr>
      <w:r w:rsidRPr="00216069">
        <w:rPr>
          <w:rFonts w:asciiTheme="minorHAnsi" w:hAnsiTheme="minorHAnsi" w:cs="Arial"/>
          <w:iCs/>
          <w:color w:val="000000"/>
          <w:kern w:val="0"/>
          <w:lang w:val="en-GB" w:eastAsia="en-GB"/>
        </w:rPr>
        <w:t>Experience with the use of intravenous omeprazole is limited in children</w:t>
      </w:r>
    </w:p>
    <w:p w14:paraId="66F637DE" w14:textId="77777777" w:rsidR="00462164" w:rsidRPr="00216069" w:rsidRDefault="00462164" w:rsidP="008A0F47">
      <w:pPr>
        <w:pStyle w:val="ListParagraph"/>
        <w:spacing w:after="0" w:line="360" w:lineRule="auto"/>
        <w:rPr>
          <w:rFonts w:asciiTheme="minorHAnsi" w:hAnsiTheme="minorHAnsi"/>
          <w:lang w:val="en-GB"/>
        </w:rPr>
      </w:pPr>
    </w:p>
    <w:p w14:paraId="22F03A8F"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4.5 </w:t>
      </w:r>
      <w:r w:rsidR="00AE30FE" w:rsidRPr="00216069">
        <w:rPr>
          <w:rFonts w:asciiTheme="minorHAnsi" w:hAnsiTheme="minorHAnsi"/>
          <w:b/>
          <w:lang w:val="en-GB"/>
        </w:rPr>
        <w:t>Interactions with other medicinal products and other forms of interactions</w:t>
      </w:r>
    </w:p>
    <w:p w14:paraId="7503566A" w14:textId="77777777" w:rsidR="00714400" w:rsidRPr="00216069" w:rsidRDefault="00714400" w:rsidP="006E5361">
      <w:pPr>
        <w:spacing w:after="0" w:line="360" w:lineRule="auto"/>
        <w:rPr>
          <w:rFonts w:asciiTheme="minorHAnsi" w:hAnsiTheme="minorHAnsi"/>
          <w:b/>
          <w:lang w:val="en-GB"/>
        </w:rPr>
      </w:pPr>
    </w:p>
    <w:p w14:paraId="1C1711E0" w14:textId="77777777" w:rsidR="00714400" w:rsidRPr="00216069" w:rsidRDefault="00714400" w:rsidP="004630B8">
      <w:pPr>
        <w:shd w:val="clear" w:color="auto" w:fill="FFFFFF"/>
        <w:spacing w:after="143" w:line="360" w:lineRule="auto"/>
        <w:ind w:left="340"/>
        <w:rPr>
          <w:rFonts w:asciiTheme="minorHAnsi" w:eastAsia="Times New Roman" w:hAnsiTheme="minorHAnsi" w:cs="Arial"/>
          <w:b/>
          <w:i/>
          <w:iCs/>
          <w:color w:val="000000"/>
          <w:kern w:val="0"/>
          <w:u w:val="single"/>
          <w:lang w:val="en-GB" w:eastAsia="en-GB"/>
        </w:rPr>
      </w:pPr>
      <w:r w:rsidRPr="00216069">
        <w:rPr>
          <w:rFonts w:asciiTheme="minorHAnsi" w:eastAsia="Times New Roman" w:hAnsiTheme="minorHAnsi" w:cs="Arial"/>
          <w:b/>
          <w:i/>
          <w:iCs/>
          <w:color w:val="000000"/>
          <w:kern w:val="0"/>
          <w:u w:val="single"/>
          <w:lang w:val="en-GB" w:eastAsia="en-GB"/>
        </w:rPr>
        <w:t>Effects of omeprazole on the pharmacokinetics of other active substances</w:t>
      </w:r>
    </w:p>
    <w:p w14:paraId="227A934B" w14:textId="77777777" w:rsidR="00714400" w:rsidRPr="00216069" w:rsidRDefault="00714400" w:rsidP="004630B8">
      <w:pPr>
        <w:pStyle w:val="ListParagraph"/>
        <w:shd w:val="clear" w:color="auto" w:fill="FFFFFF"/>
        <w:spacing w:after="143" w:line="360" w:lineRule="auto"/>
        <w:ind w:left="340"/>
        <w:rPr>
          <w:rFonts w:asciiTheme="minorHAnsi" w:hAnsiTheme="minorHAnsi" w:cs="Arial"/>
          <w:bCs/>
          <w:color w:val="000000"/>
          <w:kern w:val="0"/>
          <w:u w:val="single"/>
          <w:lang w:val="en-GB" w:eastAsia="en-GB"/>
        </w:rPr>
      </w:pPr>
      <w:r w:rsidRPr="00216069">
        <w:rPr>
          <w:rFonts w:asciiTheme="minorHAnsi" w:hAnsiTheme="minorHAnsi" w:cs="Arial"/>
          <w:bCs/>
          <w:iCs/>
          <w:color w:val="000000"/>
          <w:kern w:val="0"/>
          <w:u w:val="single"/>
          <w:lang w:val="en-GB" w:eastAsia="en-GB"/>
        </w:rPr>
        <w:t>Active substances with pH dependent absorption</w:t>
      </w:r>
    </w:p>
    <w:p w14:paraId="476CBECB" w14:textId="15F125F1" w:rsidR="005D5730" w:rsidRPr="00216069" w:rsidRDefault="008C61A0" w:rsidP="004630B8">
      <w:pPr>
        <w:shd w:val="clear" w:color="auto" w:fill="FFFFFF"/>
        <w:spacing w:after="143" w:line="360" w:lineRule="auto"/>
        <w:ind w:left="34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 xml:space="preserve">The decreased </w:t>
      </w:r>
      <w:r w:rsidR="00714400" w:rsidRPr="00216069">
        <w:rPr>
          <w:rFonts w:asciiTheme="minorHAnsi" w:eastAsia="Times New Roman" w:hAnsiTheme="minorHAnsi" w:cs="Arial"/>
          <w:color w:val="000000"/>
          <w:kern w:val="0"/>
          <w:lang w:val="en-GB" w:eastAsia="en-GB"/>
        </w:rPr>
        <w:t>gastric acidity during treatment with omeprazole might increase or decrease the absorption of active substances with a gastric pH dependent absorption.</w:t>
      </w:r>
    </w:p>
    <w:p w14:paraId="4204FA6D" w14:textId="237CF9D6" w:rsidR="00714400" w:rsidRPr="00216069" w:rsidRDefault="00462164" w:rsidP="004630B8">
      <w:pPr>
        <w:pStyle w:val="ListParagraph"/>
        <w:numPr>
          <w:ilvl w:val="0"/>
          <w:numId w:val="22"/>
        </w:numPr>
        <w:shd w:val="clear" w:color="auto" w:fill="FFFFFF"/>
        <w:spacing w:after="143" w:line="360" w:lineRule="auto"/>
        <w:ind w:left="340" w:hanging="357"/>
        <w:rPr>
          <w:rFonts w:asciiTheme="minorHAnsi" w:hAnsiTheme="minorHAnsi" w:cs="Arial"/>
          <w:b/>
          <w:bCs/>
          <w:color w:val="000000"/>
          <w:kern w:val="0"/>
          <w:lang w:val="en-GB" w:eastAsia="en-GB"/>
        </w:rPr>
      </w:pPr>
      <w:r w:rsidRPr="00216069">
        <w:rPr>
          <w:rFonts w:asciiTheme="minorHAnsi" w:hAnsiTheme="minorHAnsi" w:cs="Arial"/>
          <w:b/>
          <w:bCs/>
          <w:color w:val="000000"/>
          <w:kern w:val="0"/>
          <w:lang w:val="en-GB" w:eastAsia="en-GB"/>
        </w:rPr>
        <w:t>N</w:t>
      </w:r>
      <w:r w:rsidR="00714400" w:rsidRPr="00216069">
        <w:rPr>
          <w:rFonts w:asciiTheme="minorHAnsi" w:hAnsiTheme="minorHAnsi" w:cs="Arial"/>
          <w:b/>
          <w:bCs/>
          <w:iCs/>
          <w:color w:val="000000"/>
          <w:kern w:val="0"/>
          <w:lang w:val="en-GB" w:eastAsia="en-GB"/>
        </w:rPr>
        <w:t>elfinavir, atazanavir</w:t>
      </w:r>
    </w:p>
    <w:p w14:paraId="5407FD64" w14:textId="77777777" w:rsidR="00714400" w:rsidRPr="00216069" w:rsidRDefault="00714400" w:rsidP="004630B8">
      <w:pPr>
        <w:shd w:val="clear" w:color="auto" w:fill="FFFFFF"/>
        <w:spacing w:after="0" w:line="360" w:lineRule="auto"/>
        <w:ind w:left="34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The plasma levels of nelfinavir and atazanavir are decreased in case of co-administration with omeprazole.</w:t>
      </w:r>
    </w:p>
    <w:p w14:paraId="5190BE58" w14:textId="77777777" w:rsidR="00714400" w:rsidRPr="00216069" w:rsidRDefault="00714400" w:rsidP="004630B8">
      <w:pPr>
        <w:shd w:val="clear" w:color="auto" w:fill="FFFFFF"/>
        <w:spacing w:after="0" w:line="360" w:lineRule="auto"/>
        <w:ind w:left="34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lastRenderedPageBreak/>
        <w:t>Concomitant administration of omeprazole with nelfinavir is contraindicated. Co-administration of omeprazole (40 mg once daily) reduced mean nelfinavir exposure by ca. 40% and the mean exposure of the active metabolite M8 was reduced by ca. 75 –90%. The interaction may also involve CYP2C19 inhibition.</w:t>
      </w:r>
    </w:p>
    <w:p w14:paraId="38E307B7" w14:textId="77777777" w:rsidR="00714400" w:rsidRPr="00216069" w:rsidRDefault="00714400" w:rsidP="004630B8">
      <w:pPr>
        <w:shd w:val="clear" w:color="auto" w:fill="FFFFFF"/>
        <w:spacing w:after="0" w:line="360" w:lineRule="auto"/>
        <w:ind w:left="34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Concomitant administration of omeprazole with atazanavir is not recommended. Concomitant administration of omeprazole (40 mg once daily) and atazanavir 300 mg/ritonavir 100 mg to healthy volunteers resulted in a 75% decrease of the atazanavir exposure. Increasing the atazanavir dose to 400 mg did not compensate for the impact of omeprazole on atazanavir exposure. The co-administration of omeprazole (20 mg once daily) with atazanavir 400 mg/ritonavir 100 mg to healthy volunteers resulted in a decrease of approximately 30% in the atazanavir exposure as compared to atazanavir 300 mg/ritonavir 100 mg once daily.</w:t>
      </w:r>
    </w:p>
    <w:p w14:paraId="73841D35" w14:textId="77777777" w:rsidR="00714400" w:rsidRPr="00216069" w:rsidRDefault="00714400" w:rsidP="004630B8">
      <w:pPr>
        <w:pStyle w:val="ListParagraph"/>
        <w:numPr>
          <w:ilvl w:val="0"/>
          <w:numId w:val="22"/>
        </w:numPr>
        <w:shd w:val="clear" w:color="auto" w:fill="FFFFFF"/>
        <w:spacing w:after="143" w:line="360" w:lineRule="auto"/>
        <w:ind w:left="340"/>
        <w:rPr>
          <w:rFonts w:asciiTheme="minorHAnsi" w:hAnsiTheme="minorHAnsi" w:cs="Arial"/>
          <w:b/>
          <w:iCs/>
          <w:color w:val="000000"/>
          <w:kern w:val="0"/>
          <w:lang w:val="en-GB" w:eastAsia="en-GB"/>
        </w:rPr>
      </w:pPr>
      <w:r w:rsidRPr="00216069">
        <w:rPr>
          <w:rFonts w:asciiTheme="minorHAnsi" w:hAnsiTheme="minorHAnsi" w:cs="Arial"/>
          <w:b/>
          <w:iCs/>
          <w:color w:val="000000"/>
          <w:kern w:val="0"/>
          <w:lang w:val="en-GB" w:eastAsia="en-GB"/>
        </w:rPr>
        <w:t>Digoxin</w:t>
      </w:r>
    </w:p>
    <w:p w14:paraId="2E616CD2" w14:textId="77777777" w:rsidR="00714400" w:rsidRPr="00216069" w:rsidRDefault="00714400" w:rsidP="004630B8">
      <w:pPr>
        <w:shd w:val="clear" w:color="auto" w:fill="FFFFFF"/>
        <w:spacing w:after="0" w:line="360" w:lineRule="auto"/>
        <w:ind w:left="34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Concomitant treatment with omeprazole (20 mg daily) and digoxin in healthy subjects increased the bioavailability of digoxin by 10%. Digoxin toxicity has been rarely reported. However caution should be exercised when omeprazole is given at high doses in elderly patients. Therapeutic drug monitoring of digoxin should be then be reinforced.</w:t>
      </w:r>
    </w:p>
    <w:p w14:paraId="7804AB81" w14:textId="77777777" w:rsidR="00714400" w:rsidRPr="00216069" w:rsidRDefault="00714400" w:rsidP="004630B8">
      <w:pPr>
        <w:pStyle w:val="ListParagraph"/>
        <w:numPr>
          <w:ilvl w:val="0"/>
          <w:numId w:val="22"/>
        </w:numPr>
        <w:shd w:val="clear" w:color="auto" w:fill="FFFFFF"/>
        <w:spacing w:after="143" w:line="360" w:lineRule="auto"/>
        <w:ind w:left="357" w:hanging="357"/>
        <w:rPr>
          <w:rFonts w:asciiTheme="minorHAnsi" w:hAnsiTheme="minorHAnsi" w:cs="Arial"/>
          <w:b/>
          <w:iCs/>
          <w:color w:val="000000"/>
          <w:kern w:val="0"/>
          <w:lang w:val="en-GB" w:eastAsia="en-GB"/>
        </w:rPr>
      </w:pPr>
      <w:r w:rsidRPr="00216069">
        <w:rPr>
          <w:rFonts w:asciiTheme="minorHAnsi" w:hAnsiTheme="minorHAnsi" w:cs="Arial"/>
          <w:b/>
          <w:iCs/>
          <w:color w:val="000000"/>
          <w:kern w:val="0"/>
          <w:lang w:val="en-GB" w:eastAsia="en-GB"/>
        </w:rPr>
        <w:t>Clopidogrel</w:t>
      </w:r>
    </w:p>
    <w:p w14:paraId="66346CDF" w14:textId="77777777" w:rsidR="00714400" w:rsidRPr="00216069" w:rsidRDefault="00714400" w:rsidP="004630B8">
      <w:pPr>
        <w:shd w:val="clear" w:color="auto" w:fill="FFFFFF"/>
        <w:spacing w:after="0" w:line="360" w:lineRule="auto"/>
        <w:ind w:left="34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Results from studies in healthy subjects have shown a pharmacokinetic (PK)/pharmacodynamic (PD) interaction between clopidogrel (300 mg loading dose/75 mg daily maintenance dose) and omeprazole (80 mg p.o. daily) resulting in a decreased exposure to the active metabolite of clopidogrel by an average of 46% and a decreased maximum inhibition of (ADP induced) platelet aggregation by an average of 16%.</w:t>
      </w:r>
    </w:p>
    <w:p w14:paraId="04418E58" w14:textId="45218AEC" w:rsidR="00714400" w:rsidRPr="00216069" w:rsidRDefault="00714400" w:rsidP="004630B8">
      <w:pPr>
        <w:shd w:val="clear" w:color="auto" w:fill="FFFFFF"/>
        <w:spacing w:after="0" w:line="360" w:lineRule="auto"/>
        <w:ind w:left="34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As a precaution, concomitant use of omeprazole and clopidogrel should b</w:t>
      </w:r>
      <w:r w:rsidR="00595B11" w:rsidRPr="00216069">
        <w:rPr>
          <w:rFonts w:asciiTheme="minorHAnsi" w:eastAsia="Times New Roman" w:hAnsiTheme="minorHAnsi" w:cs="Arial"/>
          <w:color w:val="000000"/>
          <w:kern w:val="0"/>
          <w:lang w:val="en-GB" w:eastAsia="en-GB"/>
        </w:rPr>
        <w:t>e discouraged.</w:t>
      </w:r>
    </w:p>
    <w:p w14:paraId="778C1E5B" w14:textId="77777777" w:rsidR="00714400" w:rsidRPr="00216069" w:rsidRDefault="00714400" w:rsidP="004630B8">
      <w:pPr>
        <w:pStyle w:val="ListParagraph"/>
        <w:numPr>
          <w:ilvl w:val="0"/>
          <w:numId w:val="22"/>
        </w:numPr>
        <w:shd w:val="clear" w:color="auto" w:fill="FFFFFF"/>
        <w:spacing w:after="143" w:line="360" w:lineRule="auto"/>
        <w:ind w:left="357" w:hanging="357"/>
        <w:rPr>
          <w:rFonts w:asciiTheme="minorHAnsi" w:hAnsiTheme="minorHAnsi" w:cs="Arial"/>
          <w:b/>
          <w:iCs/>
          <w:color w:val="000000"/>
          <w:kern w:val="0"/>
          <w:lang w:val="en-GB" w:eastAsia="en-GB"/>
        </w:rPr>
      </w:pPr>
      <w:r w:rsidRPr="00216069">
        <w:rPr>
          <w:rFonts w:asciiTheme="minorHAnsi" w:hAnsiTheme="minorHAnsi" w:cs="Arial"/>
          <w:b/>
          <w:iCs/>
          <w:color w:val="000000"/>
          <w:kern w:val="0"/>
          <w:lang w:val="en-GB" w:eastAsia="en-GB"/>
        </w:rPr>
        <w:t>Other active substances</w:t>
      </w:r>
    </w:p>
    <w:p w14:paraId="5575745B" w14:textId="39341FAC" w:rsidR="00714400" w:rsidRPr="00216069" w:rsidRDefault="00714400" w:rsidP="004630B8">
      <w:pPr>
        <w:shd w:val="clear" w:color="auto" w:fill="FFFFFF"/>
        <w:spacing w:after="143" w:line="360" w:lineRule="auto"/>
        <w:ind w:left="34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 xml:space="preserve">The absorption of </w:t>
      </w:r>
      <w:proofErr w:type="spellStart"/>
      <w:r w:rsidRPr="00216069">
        <w:rPr>
          <w:rFonts w:asciiTheme="minorHAnsi" w:eastAsia="Times New Roman" w:hAnsiTheme="minorHAnsi" w:cs="Arial"/>
          <w:color w:val="000000"/>
          <w:kern w:val="0"/>
          <w:lang w:val="en-GB" w:eastAsia="en-GB"/>
        </w:rPr>
        <w:t>posaconazole</w:t>
      </w:r>
      <w:proofErr w:type="spellEnd"/>
      <w:r w:rsidRPr="00216069">
        <w:rPr>
          <w:rFonts w:asciiTheme="minorHAnsi" w:eastAsia="Times New Roman" w:hAnsiTheme="minorHAnsi" w:cs="Arial"/>
          <w:color w:val="000000"/>
          <w:kern w:val="0"/>
          <w:lang w:val="en-GB" w:eastAsia="en-GB"/>
        </w:rPr>
        <w:t xml:space="preserve">, </w:t>
      </w:r>
      <w:proofErr w:type="spellStart"/>
      <w:r w:rsidRPr="00216069">
        <w:rPr>
          <w:rFonts w:asciiTheme="minorHAnsi" w:eastAsia="Times New Roman" w:hAnsiTheme="minorHAnsi" w:cs="Arial"/>
          <w:color w:val="000000"/>
          <w:kern w:val="0"/>
          <w:lang w:val="en-GB" w:eastAsia="en-GB"/>
        </w:rPr>
        <w:t>erlotinib</w:t>
      </w:r>
      <w:proofErr w:type="spellEnd"/>
      <w:r w:rsidRPr="00216069">
        <w:rPr>
          <w:rFonts w:asciiTheme="minorHAnsi" w:eastAsia="Times New Roman" w:hAnsiTheme="minorHAnsi" w:cs="Arial"/>
          <w:color w:val="000000"/>
          <w:kern w:val="0"/>
          <w:lang w:val="en-GB" w:eastAsia="en-GB"/>
        </w:rPr>
        <w:t xml:space="preserve">, ketoconazole and itraconazole is significantly reduced and thus clinical efficacy may be impaired. For </w:t>
      </w:r>
      <w:proofErr w:type="spellStart"/>
      <w:r w:rsidRPr="00216069">
        <w:rPr>
          <w:rFonts w:asciiTheme="minorHAnsi" w:eastAsia="Times New Roman" w:hAnsiTheme="minorHAnsi" w:cs="Arial"/>
          <w:color w:val="000000"/>
          <w:kern w:val="0"/>
          <w:lang w:val="en-GB" w:eastAsia="en-GB"/>
        </w:rPr>
        <w:t>posaconazole</w:t>
      </w:r>
      <w:proofErr w:type="spellEnd"/>
      <w:r w:rsidRPr="00216069">
        <w:rPr>
          <w:rFonts w:asciiTheme="minorHAnsi" w:eastAsia="Times New Roman" w:hAnsiTheme="minorHAnsi" w:cs="Arial"/>
          <w:color w:val="000000"/>
          <w:kern w:val="0"/>
          <w:lang w:val="en-GB" w:eastAsia="en-GB"/>
        </w:rPr>
        <w:t xml:space="preserve"> and </w:t>
      </w:r>
      <w:proofErr w:type="spellStart"/>
      <w:r w:rsidRPr="00216069">
        <w:rPr>
          <w:rFonts w:asciiTheme="minorHAnsi" w:eastAsia="Times New Roman" w:hAnsiTheme="minorHAnsi" w:cs="Arial"/>
          <w:color w:val="000000"/>
          <w:kern w:val="0"/>
          <w:lang w:val="en-GB" w:eastAsia="en-GB"/>
        </w:rPr>
        <w:t>erlotinib</w:t>
      </w:r>
      <w:proofErr w:type="spellEnd"/>
      <w:r w:rsidRPr="00216069">
        <w:rPr>
          <w:rFonts w:asciiTheme="minorHAnsi" w:eastAsia="Times New Roman" w:hAnsiTheme="minorHAnsi" w:cs="Arial"/>
          <w:color w:val="000000"/>
          <w:kern w:val="0"/>
          <w:lang w:val="en-GB" w:eastAsia="en-GB"/>
        </w:rPr>
        <w:t xml:space="preserve"> concomitant use should be avoided.</w:t>
      </w:r>
    </w:p>
    <w:p w14:paraId="15FDA519" w14:textId="77777777" w:rsidR="00714400" w:rsidRPr="00216069" w:rsidRDefault="00714400" w:rsidP="004630B8">
      <w:pPr>
        <w:pStyle w:val="ListParagraph"/>
        <w:shd w:val="clear" w:color="auto" w:fill="FFFFFF"/>
        <w:spacing w:after="143" w:line="360" w:lineRule="auto"/>
        <w:ind w:left="340"/>
        <w:rPr>
          <w:rFonts w:asciiTheme="minorHAnsi" w:hAnsiTheme="minorHAnsi" w:cs="Arial"/>
          <w:bCs/>
          <w:color w:val="000000"/>
          <w:kern w:val="0"/>
          <w:u w:val="single"/>
          <w:lang w:val="en-GB" w:eastAsia="en-GB"/>
        </w:rPr>
      </w:pPr>
      <w:r w:rsidRPr="00216069">
        <w:rPr>
          <w:rFonts w:asciiTheme="minorHAnsi" w:hAnsiTheme="minorHAnsi" w:cs="Arial"/>
          <w:bCs/>
          <w:iCs/>
          <w:color w:val="000000"/>
          <w:kern w:val="0"/>
          <w:u w:val="single"/>
          <w:lang w:val="en-GB" w:eastAsia="en-GB"/>
        </w:rPr>
        <w:lastRenderedPageBreak/>
        <w:t>Active substances metabolised by CYP2C19</w:t>
      </w:r>
    </w:p>
    <w:p w14:paraId="3EB361FC" w14:textId="77777777" w:rsidR="00714400" w:rsidRPr="00216069" w:rsidRDefault="00714400" w:rsidP="004630B8">
      <w:pPr>
        <w:shd w:val="clear" w:color="auto" w:fill="FFFFFF"/>
        <w:spacing w:after="143" w:line="360" w:lineRule="auto"/>
        <w:ind w:left="34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Omeprazole is a moderate inhibitor of CYP2C19, the major omeprazole metabolising enzyme. Thus, the metabolism of concomitant active substances also metabolised by CYP2C19, may be decreased and the systemic exposure to these substances increased. Examples of such drugs are R-warfarin and other vitamin K antagonists, cilostazol, diazepam and phenytoin.</w:t>
      </w:r>
    </w:p>
    <w:p w14:paraId="02C2D957" w14:textId="77777777" w:rsidR="00714400" w:rsidRPr="00216069" w:rsidRDefault="00714400" w:rsidP="004630B8">
      <w:pPr>
        <w:pStyle w:val="ListParagraph"/>
        <w:numPr>
          <w:ilvl w:val="0"/>
          <w:numId w:val="22"/>
        </w:numPr>
        <w:shd w:val="clear" w:color="auto" w:fill="FFFFFF"/>
        <w:spacing w:after="143" w:line="360" w:lineRule="auto"/>
        <w:ind w:left="700"/>
        <w:rPr>
          <w:rFonts w:asciiTheme="minorHAnsi" w:hAnsiTheme="minorHAnsi" w:cs="Arial"/>
          <w:b/>
          <w:iCs/>
          <w:color w:val="000000"/>
          <w:kern w:val="0"/>
          <w:lang w:val="en-GB" w:eastAsia="en-GB"/>
        </w:rPr>
      </w:pPr>
      <w:r w:rsidRPr="00216069">
        <w:rPr>
          <w:rFonts w:asciiTheme="minorHAnsi" w:hAnsiTheme="minorHAnsi" w:cs="Arial"/>
          <w:b/>
          <w:iCs/>
          <w:color w:val="000000"/>
          <w:kern w:val="0"/>
          <w:lang w:val="en-GB" w:eastAsia="en-GB"/>
        </w:rPr>
        <w:t>Cilostazol</w:t>
      </w:r>
    </w:p>
    <w:p w14:paraId="08189B73" w14:textId="77777777" w:rsidR="00714400" w:rsidRPr="00216069" w:rsidRDefault="00714400" w:rsidP="004630B8">
      <w:pPr>
        <w:shd w:val="clear" w:color="auto" w:fill="FFFFFF"/>
        <w:spacing w:after="143" w:line="360" w:lineRule="auto"/>
        <w:ind w:left="689"/>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 xml:space="preserve">Omeprazole, given in doses of 40 mg to healthy subjects in a cross-over study, increased </w:t>
      </w:r>
      <w:proofErr w:type="spellStart"/>
      <w:r w:rsidRPr="00216069">
        <w:rPr>
          <w:rFonts w:asciiTheme="minorHAnsi" w:eastAsia="Times New Roman" w:hAnsiTheme="minorHAnsi" w:cs="Arial"/>
          <w:color w:val="000000"/>
          <w:kern w:val="0"/>
          <w:lang w:val="en-GB" w:eastAsia="en-GB"/>
        </w:rPr>
        <w:t>Cmax</w:t>
      </w:r>
      <w:proofErr w:type="spellEnd"/>
      <w:r w:rsidRPr="00216069">
        <w:rPr>
          <w:rFonts w:asciiTheme="minorHAnsi" w:eastAsia="Times New Roman" w:hAnsiTheme="minorHAnsi" w:cs="Arial"/>
          <w:color w:val="000000"/>
          <w:kern w:val="0"/>
          <w:lang w:val="en-GB" w:eastAsia="en-GB"/>
        </w:rPr>
        <w:t xml:space="preserve"> and AUC for </w:t>
      </w:r>
      <w:proofErr w:type="spellStart"/>
      <w:r w:rsidRPr="00216069">
        <w:rPr>
          <w:rFonts w:asciiTheme="minorHAnsi" w:eastAsia="Times New Roman" w:hAnsiTheme="minorHAnsi" w:cs="Arial"/>
          <w:color w:val="000000"/>
          <w:kern w:val="0"/>
          <w:lang w:val="en-GB" w:eastAsia="en-GB"/>
        </w:rPr>
        <w:t>cilostazol</w:t>
      </w:r>
      <w:proofErr w:type="spellEnd"/>
      <w:r w:rsidRPr="00216069">
        <w:rPr>
          <w:rFonts w:asciiTheme="minorHAnsi" w:eastAsia="Times New Roman" w:hAnsiTheme="minorHAnsi" w:cs="Arial"/>
          <w:color w:val="000000"/>
          <w:kern w:val="0"/>
          <w:lang w:val="en-GB" w:eastAsia="en-GB"/>
        </w:rPr>
        <w:t xml:space="preserve"> by 18% and 26% respectively, and one of its active metabolites by 29% and 69% respectively.</w:t>
      </w:r>
    </w:p>
    <w:p w14:paraId="33105123" w14:textId="77777777" w:rsidR="00714400" w:rsidRPr="00216069" w:rsidRDefault="00714400" w:rsidP="004630B8">
      <w:pPr>
        <w:pStyle w:val="ListParagraph"/>
        <w:numPr>
          <w:ilvl w:val="0"/>
          <w:numId w:val="22"/>
        </w:numPr>
        <w:shd w:val="clear" w:color="auto" w:fill="FFFFFF"/>
        <w:spacing w:after="143" w:line="360" w:lineRule="auto"/>
        <w:ind w:left="700"/>
        <w:rPr>
          <w:rFonts w:asciiTheme="minorHAnsi" w:hAnsiTheme="minorHAnsi" w:cs="Arial"/>
          <w:b/>
          <w:iCs/>
          <w:color w:val="000000"/>
          <w:kern w:val="0"/>
          <w:lang w:val="en-GB" w:eastAsia="en-GB"/>
        </w:rPr>
      </w:pPr>
      <w:r w:rsidRPr="00216069">
        <w:rPr>
          <w:rFonts w:asciiTheme="minorHAnsi" w:hAnsiTheme="minorHAnsi" w:cs="Arial"/>
          <w:b/>
          <w:iCs/>
          <w:color w:val="000000"/>
          <w:kern w:val="0"/>
          <w:lang w:val="en-GB" w:eastAsia="en-GB"/>
        </w:rPr>
        <w:t>Phenytoin</w:t>
      </w:r>
    </w:p>
    <w:p w14:paraId="14058BB1" w14:textId="77777777" w:rsidR="00714400" w:rsidRPr="00216069" w:rsidRDefault="00714400" w:rsidP="004630B8">
      <w:pPr>
        <w:shd w:val="clear" w:color="auto" w:fill="FFFFFF"/>
        <w:spacing w:after="143" w:line="360" w:lineRule="auto"/>
        <w:ind w:left="689"/>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Monitoring phenytoin plasma concentration is recommended during the first two weeks after initiating omeprazole treatment and, if a phenytoin dose adjustment is made, monitoring and a further dose adjustment should occur upon ending omeprazole treatment.</w:t>
      </w:r>
    </w:p>
    <w:p w14:paraId="33CCC3AE" w14:textId="77777777" w:rsidR="00714400" w:rsidRPr="00216069" w:rsidRDefault="00714400" w:rsidP="004630B8">
      <w:pPr>
        <w:shd w:val="clear" w:color="auto" w:fill="FFFFFF"/>
        <w:spacing w:after="143" w:line="360" w:lineRule="auto"/>
        <w:ind w:left="340"/>
        <w:rPr>
          <w:rFonts w:asciiTheme="minorHAnsi" w:hAnsiTheme="minorHAnsi" w:cs="Arial"/>
          <w:bCs/>
          <w:iCs/>
          <w:color w:val="000000"/>
          <w:kern w:val="0"/>
          <w:u w:val="single"/>
          <w:lang w:val="en-GB" w:eastAsia="en-GB"/>
        </w:rPr>
      </w:pPr>
      <w:r w:rsidRPr="00216069">
        <w:rPr>
          <w:rFonts w:asciiTheme="minorHAnsi" w:hAnsiTheme="minorHAnsi" w:cs="Arial"/>
          <w:bCs/>
          <w:iCs/>
          <w:color w:val="000000"/>
          <w:kern w:val="0"/>
          <w:u w:val="single"/>
          <w:lang w:val="en-GB" w:eastAsia="en-GB"/>
        </w:rPr>
        <w:t>Unknown mechanism</w:t>
      </w:r>
    </w:p>
    <w:p w14:paraId="127ABB37" w14:textId="77777777" w:rsidR="00714400" w:rsidRPr="00216069" w:rsidRDefault="00714400" w:rsidP="004630B8">
      <w:pPr>
        <w:pStyle w:val="ListParagraph"/>
        <w:numPr>
          <w:ilvl w:val="0"/>
          <w:numId w:val="22"/>
        </w:numPr>
        <w:shd w:val="clear" w:color="auto" w:fill="FFFFFF"/>
        <w:spacing w:after="143" w:line="360" w:lineRule="auto"/>
        <w:ind w:left="700"/>
        <w:rPr>
          <w:rFonts w:asciiTheme="minorHAnsi" w:hAnsiTheme="minorHAnsi" w:cs="Arial"/>
          <w:b/>
          <w:iCs/>
          <w:color w:val="000000"/>
          <w:kern w:val="0"/>
          <w:lang w:val="en-GB" w:eastAsia="en-GB"/>
        </w:rPr>
      </w:pPr>
      <w:r w:rsidRPr="00216069">
        <w:rPr>
          <w:rFonts w:asciiTheme="minorHAnsi" w:hAnsiTheme="minorHAnsi" w:cs="Arial"/>
          <w:b/>
          <w:iCs/>
          <w:color w:val="000000"/>
          <w:kern w:val="0"/>
          <w:lang w:val="en-GB" w:eastAsia="en-GB"/>
        </w:rPr>
        <w:t>Saquinavir</w:t>
      </w:r>
    </w:p>
    <w:p w14:paraId="096CE508" w14:textId="7DDA92C9" w:rsidR="00714400" w:rsidRPr="00216069" w:rsidRDefault="00714400" w:rsidP="004630B8">
      <w:pPr>
        <w:shd w:val="clear" w:color="auto" w:fill="FFFFFF"/>
        <w:spacing w:after="143" w:line="360" w:lineRule="auto"/>
        <w:ind w:left="689"/>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Concomitant administration of omeprazole with saquinavir/ritonavir resulted in increased plasma levels up to approximately 70% for saquinavir associated with good tolerability in HIV-infected patients.</w:t>
      </w:r>
    </w:p>
    <w:p w14:paraId="319B124A" w14:textId="77777777" w:rsidR="00714400" w:rsidRPr="00216069" w:rsidRDefault="00714400" w:rsidP="004630B8">
      <w:pPr>
        <w:pStyle w:val="ListParagraph"/>
        <w:numPr>
          <w:ilvl w:val="0"/>
          <w:numId w:val="22"/>
        </w:numPr>
        <w:shd w:val="clear" w:color="auto" w:fill="FFFFFF"/>
        <w:spacing w:after="143" w:line="360" w:lineRule="auto"/>
        <w:ind w:left="700"/>
        <w:rPr>
          <w:rFonts w:asciiTheme="minorHAnsi" w:hAnsiTheme="minorHAnsi" w:cs="Arial"/>
          <w:b/>
          <w:iCs/>
          <w:color w:val="000000"/>
          <w:kern w:val="0"/>
          <w:lang w:val="en-GB" w:eastAsia="en-GB"/>
        </w:rPr>
      </w:pPr>
      <w:r w:rsidRPr="00216069">
        <w:rPr>
          <w:rFonts w:asciiTheme="minorHAnsi" w:hAnsiTheme="minorHAnsi" w:cs="Arial"/>
          <w:b/>
          <w:iCs/>
          <w:color w:val="000000"/>
          <w:kern w:val="0"/>
          <w:lang w:val="en-GB" w:eastAsia="en-GB"/>
        </w:rPr>
        <w:t>Tacrolimus</w:t>
      </w:r>
    </w:p>
    <w:p w14:paraId="25196512" w14:textId="5332807D" w:rsidR="00714400" w:rsidRPr="00216069" w:rsidRDefault="00714400" w:rsidP="004630B8">
      <w:pPr>
        <w:shd w:val="clear" w:color="auto" w:fill="FFFFFF"/>
        <w:spacing w:after="143" w:line="360" w:lineRule="auto"/>
        <w:ind w:left="689"/>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Concomitant administration of omeprazole has been reported to increase the serum levels of tacrolimus. A reinforced monitoring of tacrolimus concentrations as well as renal function (creatinine clearance) should be performed, and dosage of tacrolimus adjusted if needed.</w:t>
      </w:r>
    </w:p>
    <w:p w14:paraId="537810E7" w14:textId="402D516C" w:rsidR="004630B8" w:rsidRPr="00216069" w:rsidRDefault="004630B8" w:rsidP="004630B8">
      <w:pPr>
        <w:shd w:val="clear" w:color="auto" w:fill="FFFFFF"/>
        <w:spacing w:after="143" w:line="360" w:lineRule="auto"/>
        <w:ind w:left="689"/>
        <w:rPr>
          <w:rFonts w:asciiTheme="minorHAnsi" w:eastAsia="Times New Roman" w:hAnsiTheme="minorHAnsi" w:cs="Arial"/>
          <w:color w:val="000000"/>
          <w:kern w:val="0"/>
          <w:lang w:val="en-GB" w:eastAsia="en-GB"/>
        </w:rPr>
      </w:pPr>
    </w:p>
    <w:p w14:paraId="25997E78" w14:textId="77777777" w:rsidR="004630B8" w:rsidRPr="00216069" w:rsidRDefault="004630B8" w:rsidP="004630B8">
      <w:pPr>
        <w:shd w:val="clear" w:color="auto" w:fill="FFFFFF"/>
        <w:spacing w:after="143" w:line="360" w:lineRule="auto"/>
        <w:ind w:left="689"/>
        <w:rPr>
          <w:rFonts w:asciiTheme="minorHAnsi" w:eastAsia="Times New Roman" w:hAnsiTheme="minorHAnsi" w:cs="Arial"/>
          <w:color w:val="000000"/>
          <w:kern w:val="0"/>
          <w:lang w:val="en-GB" w:eastAsia="en-GB"/>
        </w:rPr>
      </w:pPr>
    </w:p>
    <w:p w14:paraId="5A472241" w14:textId="77777777" w:rsidR="00714400" w:rsidRPr="00216069" w:rsidRDefault="00714400" w:rsidP="004630B8">
      <w:pPr>
        <w:pStyle w:val="ListParagraph"/>
        <w:numPr>
          <w:ilvl w:val="0"/>
          <w:numId w:val="22"/>
        </w:numPr>
        <w:shd w:val="clear" w:color="auto" w:fill="FFFFFF"/>
        <w:spacing w:after="143" w:line="360" w:lineRule="auto"/>
        <w:ind w:left="700"/>
        <w:rPr>
          <w:rFonts w:asciiTheme="minorHAnsi" w:hAnsiTheme="minorHAnsi" w:cs="Arial"/>
          <w:b/>
          <w:iCs/>
          <w:color w:val="000000"/>
          <w:kern w:val="0"/>
          <w:lang w:val="en-GB" w:eastAsia="en-GB"/>
        </w:rPr>
      </w:pPr>
      <w:r w:rsidRPr="00216069">
        <w:rPr>
          <w:rFonts w:asciiTheme="minorHAnsi" w:hAnsiTheme="minorHAnsi" w:cs="Arial"/>
          <w:b/>
          <w:iCs/>
          <w:color w:val="000000"/>
          <w:kern w:val="0"/>
          <w:lang w:val="en-GB" w:eastAsia="en-GB"/>
        </w:rPr>
        <w:lastRenderedPageBreak/>
        <w:t>Methotrexate</w:t>
      </w:r>
    </w:p>
    <w:p w14:paraId="75F9F2B9" w14:textId="77777777" w:rsidR="00714400" w:rsidRPr="00216069" w:rsidRDefault="00714400" w:rsidP="006E5361">
      <w:pPr>
        <w:shd w:val="clear" w:color="auto" w:fill="FFFFFF"/>
        <w:spacing w:after="143" w:line="360" w:lineRule="auto"/>
        <w:ind w:left="709"/>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When given together with proton-pump inhibitors, methotrexate levels have been reported to increase in some patients. In high-dose methotrexate administration a temporary withdrawal of omeprazole may need to be considered.</w:t>
      </w:r>
    </w:p>
    <w:p w14:paraId="5D799C8B" w14:textId="77777777" w:rsidR="004630B8" w:rsidRPr="00216069" w:rsidRDefault="004630B8" w:rsidP="004630B8">
      <w:pPr>
        <w:shd w:val="clear" w:color="auto" w:fill="FFFFFF"/>
        <w:spacing w:after="143" w:line="360" w:lineRule="auto"/>
        <w:ind w:left="66"/>
        <w:rPr>
          <w:rFonts w:asciiTheme="minorHAnsi" w:eastAsia="Times New Roman" w:hAnsiTheme="minorHAnsi" w:cs="Arial"/>
          <w:b/>
          <w:i/>
          <w:iCs/>
          <w:color w:val="000000"/>
          <w:kern w:val="0"/>
          <w:lang w:val="en-GB" w:eastAsia="en-GB"/>
        </w:rPr>
      </w:pPr>
    </w:p>
    <w:p w14:paraId="3A8ECD2B" w14:textId="0C957A18" w:rsidR="00714400" w:rsidRPr="00216069" w:rsidRDefault="00714400" w:rsidP="004630B8">
      <w:pPr>
        <w:shd w:val="clear" w:color="auto" w:fill="FFFFFF"/>
        <w:spacing w:after="143" w:line="360" w:lineRule="auto"/>
        <w:ind w:left="66"/>
        <w:rPr>
          <w:rFonts w:asciiTheme="minorHAnsi" w:eastAsia="Times New Roman" w:hAnsiTheme="minorHAnsi" w:cs="Arial"/>
          <w:b/>
          <w:i/>
          <w:iCs/>
          <w:color w:val="000000"/>
          <w:kern w:val="0"/>
          <w:lang w:val="en-GB" w:eastAsia="en-GB"/>
        </w:rPr>
      </w:pPr>
      <w:r w:rsidRPr="00216069">
        <w:rPr>
          <w:rFonts w:asciiTheme="minorHAnsi" w:eastAsia="Times New Roman" w:hAnsiTheme="minorHAnsi" w:cs="Arial"/>
          <w:b/>
          <w:i/>
          <w:iCs/>
          <w:color w:val="000000"/>
          <w:kern w:val="0"/>
          <w:lang w:val="en-GB" w:eastAsia="en-GB"/>
        </w:rPr>
        <w:t>Effects of other active substances on the pharmacokinetics of omeprazole</w:t>
      </w:r>
    </w:p>
    <w:p w14:paraId="28FCD191" w14:textId="77777777" w:rsidR="00714400" w:rsidRPr="00216069" w:rsidRDefault="00714400" w:rsidP="004630B8">
      <w:pPr>
        <w:pStyle w:val="ListParagraph"/>
        <w:numPr>
          <w:ilvl w:val="0"/>
          <w:numId w:val="22"/>
        </w:numPr>
        <w:shd w:val="clear" w:color="auto" w:fill="FFFFFF"/>
        <w:spacing w:after="143" w:line="360" w:lineRule="auto"/>
        <w:rPr>
          <w:rFonts w:asciiTheme="minorHAnsi" w:hAnsiTheme="minorHAnsi" w:cs="Arial"/>
          <w:b/>
          <w:iCs/>
          <w:color w:val="000000"/>
          <w:kern w:val="0"/>
          <w:lang w:val="en-GB" w:eastAsia="en-GB"/>
        </w:rPr>
      </w:pPr>
      <w:r w:rsidRPr="00216069">
        <w:rPr>
          <w:rFonts w:asciiTheme="minorHAnsi" w:hAnsiTheme="minorHAnsi" w:cs="Arial"/>
          <w:b/>
          <w:iCs/>
          <w:color w:val="000000"/>
          <w:kern w:val="0"/>
          <w:lang w:val="en-GB" w:eastAsia="en-GB"/>
        </w:rPr>
        <w:t>Inhibitors of CYP2C19 and/or CYP3A4</w:t>
      </w:r>
    </w:p>
    <w:p w14:paraId="06006F03" w14:textId="77777777" w:rsidR="00714400" w:rsidRPr="00216069" w:rsidRDefault="00714400" w:rsidP="004630B8">
      <w:pPr>
        <w:shd w:val="clear" w:color="auto" w:fill="FFFFFF"/>
        <w:spacing w:after="143" w:line="360" w:lineRule="auto"/>
        <w:ind w:left="709"/>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Since omeprazole is metabolised by CYP2C19 and CYP3A4, active substances known to inhibit CYP2C19 or CYP3A4 (such as clarithromycin and voriconazole) may lead to increased omeprazole serum levels by decreasing omeprazole's rate of metabolism. Concomitant voriconazole treatment resulted in more than doubling of the omeprazole exposure. As high doses of omeprazole have been well-tolerated adjustment of the omeprazole dose is not generally required. However, dose adjustment should be considered in patients with severe hepatic impairment and if long-term treatment is indicated.</w:t>
      </w:r>
    </w:p>
    <w:p w14:paraId="59AF7691" w14:textId="77777777" w:rsidR="00714400" w:rsidRPr="00216069" w:rsidRDefault="00714400" w:rsidP="004630B8">
      <w:pPr>
        <w:pStyle w:val="ListParagraph"/>
        <w:numPr>
          <w:ilvl w:val="0"/>
          <w:numId w:val="22"/>
        </w:numPr>
        <w:shd w:val="clear" w:color="auto" w:fill="FFFFFF"/>
        <w:spacing w:after="143" w:line="360" w:lineRule="auto"/>
        <w:rPr>
          <w:rFonts w:asciiTheme="minorHAnsi" w:hAnsiTheme="minorHAnsi" w:cs="Arial"/>
          <w:b/>
          <w:iCs/>
          <w:color w:val="000000"/>
          <w:kern w:val="0"/>
          <w:lang w:val="en-GB" w:eastAsia="en-GB"/>
        </w:rPr>
      </w:pPr>
      <w:r w:rsidRPr="00216069">
        <w:rPr>
          <w:rFonts w:asciiTheme="minorHAnsi" w:hAnsiTheme="minorHAnsi" w:cs="Arial"/>
          <w:b/>
          <w:iCs/>
          <w:color w:val="000000"/>
          <w:kern w:val="0"/>
          <w:lang w:val="en-GB" w:eastAsia="en-GB"/>
        </w:rPr>
        <w:t>Inducers of CYP2C19 and/or CYP3A4</w:t>
      </w:r>
    </w:p>
    <w:p w14:paraId="3B648685" w14:textId="77777777" w:rsidR="00714400" w:rsidRPr="00216069" w:rsidRDefault="00714400" w:rsidP="004630B8">
      <w:pPr>
        <w:shd w:val="clear" w:color="auto" w:fill="FFFFFF"/>
        <w:spacing w:after="143" w:line="360" w:lineRule="auto"/>
        <w:ind w:left="709"/>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Active substances known to induce CYP2C19 or CYP3A4 or both (such as rifampicin and St John's wort) may lead to decreased omeprazole serum levels by increasing omeprazole's rate of metabolism.</w:t>
      </w:r>
    </w:p>
    <w:p w14:paraId="1A898119" w14:textId="77777777" w:rsidR="00714400" w:rsidRPr="00216069" w:rsidRDefault="00714400" w:rsidP="006E5361">
      <w:pPr>
        <w:shd w:val="clear" w:color="auto" w:fill="FFFFFF"/>
        <w:spacing w:after="143" w:line="360" w:lineRule="auto"/>
        <w:rPr>
          <w:rFonts w:asciiTheme="minorHAnsi" w:eastAsia="Times New Roman" w:hAnsiTheme="minorHAnsi" w:cs="Arial"/>
          <w:color w:val="000000"/>
          <w:kern w:val="0"/>
          <w:lang w:val="en-GB" w:eastAsia="en-GB"/>
        </w:rPr>
      </w:pPr>
    </w:p>
    <w:p w14:paraId="282A5B53" w14:textId="5451B90A" w:rsidR="00AE30FE" w:rsidRPr="00216069" w:rsidRDefault="003A67E9" w:rsidP="006E5361">
      <w:pPr>
        <w:spacing w:after="0" w:line="360" w:lineRule="auto"/>
        <w:rPr>
          <w:rFonts w:asciiTheme="minorHAnsi" w:hAnsiTheme="minorHAnsi"/>
          <w:b/>
          <w:lang w:val="en-GB"/>
        </w:rPr>
      </w:pPr>
      <w:r w:rsidRPr="00216069">
        <w:rPr>
          <w:rFonts w:asciiTheme="minorHAnsi" w:hAnsiTheme="minorHAnsi"/>
          <w:b/>
          <w:lang w:val="en-GB"/>
        </w:rPr>
        <w:t>4.6 Pregnancy</w:t>
      </w:r>
      <w:r w:rsidR="00602139" w:rsidRPr="00216069">
        <w:rPr>
          <w:rFonts w:asciiTheme="minorHAnsi" w:hAnsiTheme="minorHAnsi"/>
          <w:b/>
          <w:lang w:val="en-GB"/>
        </w:rPr>
        <w:t>,</w:t>
      </w:r>
      <w:r w:rsidR="00AE30FE" w:rsidRPr="00216069">
        <w:rPr>
          <w:rFonts w:asciiTheme="minorHAnsi" w:hAnsiTheme="minorHAnsi"/>
          <w:b/>
          <w:lang w:val="en-GB"/>
        </w:rPr>
        <w:t xml:space="preserve"> lactation</w:t>
      </w:r>
      <w:r w:rsidR="00602139" w:rsidRPr="00216069">
        <w:rPr>
          <w:rFonts w:asciiTheme="minorHAnsi" w:hAnsiTheme="minorHAnsi"/>
          <w:b/>
          <w:lang w:val="en-GB"/>
        </w:rPr>
        <w:t xml:space="preserve"> and fertility</w:t>
      </w:r>
    </w:p>
    <w:p w14:paraId="63A987FC" w14:textId="77777777" w:rsidR="00DC4881" w:rsidRPr="00216069" w:rsidRDefault="009B0007" w:rsidP="00EF1D88">
      <w:pPr>
        <w:spacing w:after="0" w:line="360" w:lineRule="auto"/>
        <w:rPr>
          <w:rFonts w:asciiTheme="minorHAnsi" w:hAnsiTheme="minorHAnsi"/>
          <w:b/>
          <w:lang w:val="en-GB"/>
        </w:rPr>
      </w:pPr>
      <w:r w:rsidRPr="00216069">
        <w:rPr>
          <w:rFonts w:asciiTheme="minorHAnsi" w:hAnsiTheme="minorHAnsi"/>
          <w:b/>
          <w:lang w:val="en-GB"/>
        </w:rPr>
        <w:t xml:space="preserve">4.6.1 </w:t>
      </w:r>
      <w:r w:rsidR="00DC4881" w:rsidRPr="00216069">
        <w:rPr>
          <w:rFonts w:asciiTheme="minorHAnsi" w:hAnsiTheme="minorHAnsi"/>
          <w:b/>
          <w:lang w:val="en-GB"/>
        </w:rPr>
        <w:t>Pregnancy</w:t>
      </w:r>
    </w:p>
    <w:p w14:paraId="22EBA01F" w14:textId="24EF4158" w:rsidR="00DC4881" w:rsidRPr="00216069" w:rsidRDefault="00714400" w:rsidP="00EF1D88">
      <w:pPr>
        <w:pStyle w:val="NormalWeb"/>
        <w:shd w:val="clear" w:color="auto" w:fill="FFFFFF"/>
        <w:spacing w:before="0" w:beforeAutospacing="0" w:after="143" w:afterAutospacing="0" w:line="360" w:lineRule="auto"/>
        <w:ind w:left="720"/>
        <w:rPr>
          <w:rFonts w:asciiTheme="minorHAnsi" w:hAnsiTheme="minorHAnsi"/>
        </w:rPr>
      </w:pPr>
      <w:r w:rsidRPr="00216069">
        <w:rPr>
          <w:rFonts w:asciiTheme="minorHAnsi" w:hAnsiTheme="minorHAnsi" w:cs="Arial"/>
          <w:color w:val="000000"/>
        </w:rPr>
        <w:t>Results from three prospective epidemiological studies (more than 1000 exposed outcomes) indicate no adverse effects of omeprazole on pregnancy or on the health of the foetus/</w:t>
      </w:r>
      <w:r w:rsidR="00EF1D88" w:rsidRPr="00216069">
        <w:rPr>
          <w:rFonts w:asciiTheme="minorHAnsi" w:hAnsiTheme="minorHAnsi" w:cs="Arial"/>
          <w:color w:val="000000"/>
        </w:rPr>
        <w:t>new-born</w:t>
      </w:r>
      <w:r w:rsidRPr="00216069">
        <w:rPr>
          <w:rFonts w:asciiTheme="minorHAnsi" w:hAnsiTheme="minorHAnsi" w:cs="Arial"/>
          <w:color w:val="000000"/>
        </w:rPr>
        <w:t xml:space="preserve"> child. Omeprazole can be used during pregnancy.</w:t>
      </w:r>
    </w:p>
    <w:p w14:paraId="446A7CA2" w14:textId="77777777" w:rsidR="00DC4881"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4.6.2 </w:t>
      </w:r>
      <w:r w:rsidR="00DC4881" w:rsidRPr="00216069">
        <w:rPr>
          <w:rFonts w:asciiTheme="minorHAnsi" w:hAnsiTheme="minorHAnsi"/>
          <w:b/>
          <w:lang w:val="en-GB"/>
        </w:rPr>
        <w:t>Lactation</w:t>
      </w:r>
    </w:p>
    <w:p w14:paraId="443C359B" w14:textId="77777777" w:rsidR="00714400" w:rsidRPr="00216069" w:rsidRDefault="00714400" w:rsidP="00EF1D88">
      <w:pPr>
        <w:pStyle w:val="NormalWeb"/>
        <w:shd w:val="clear" w:color="auto" w:fill="FFFFFF"/>
        <w:spacing w:before="0" w:beforeAutospacing="0" w:after="143" w:afterAutospacing="0" w:line="360" w:lineRule="auto"/>
        <w:ind w:left="720"/>
        <w:rPr>
          <w:rFonts w:asciiTheme="minorHAnsi" w:hAnsiTheme="minorHAnsi" w:cs="Arial"/>
          <w:color w:val="000000"/>
        </w:rPr>
      </w:pPr>
      <w:r w:rsidRPr="00216069">
        <w:rPr>
          <w:rFonts w:asciiTheme="minorHAnsi" w:hAnsiTheme="minorHAnsi" w:cs="Arial"/>
          <w:color w:val="000000"/>
        </w:rPr>
        <w:t>Omeprazole is excreted in breast milk but is not likely to influence the child when therapeutic doses are used.</w:t>
      </w:r>
    </w:p>
    <w:p w14:paraId="54E16495" w14:textId="77777777" w:rsidR="00DC4881" w:rsidRPr="00216069" w:rsidRDefault="00DC4881" w:rsidP="006E5361">
      <w:pPr>
        <w:pStyle w:val="ListParagraph"/>
        <w:spacing w:after="0" w:line="360" w:lineRule="auto"/>
        <w:ind w:left="0"/>
        <w:rPr>
          <w:rFonts w:asciiTheme="minorHAnsi" w:hAnsiTheme="minorHAnsi"/>
          <w:lang w:val="en-GB"/>
        </w:rPr>
      </w:pPr>
    </w:p>
    <w:p w14:paraId="65DC89D5" w14:textId="77777777" w:rsidR="00DC4881"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4.6.3 </w:t>
      </w:r>
      <w:r w:rsidR="00DC4881" w:rsidRPr="00216069">
        <w:rPr>
          <w:rFonts w:asciiTheme="minorHAnsi" w:hAnsiTheme="minorHAnsi"/>
          <w:b/>
          <w:lang w:val="en-GB"/>
        </w:rPr>
        <w:t>Fertility</w:t>
      </w:r>
    </w:p>
    <w:p w14:paraId="58A0AB2F" w14:textId="77777777" w:rsidR="00714400" w:rsidRPr="00216069" w:rsidRDefault="00714400" w:rsidP="00EF1D88">
      <w:pPr>
        <w:pStyle w:val="NormalWeb"/>
        <w:shd w:val="clear" w:color="auto" w:fill="FFFFFF"/>
        <w:spacing w:before="0" w:beforeAutospacing="0" w:after="143" w:afterAutospacing="0" w:line="360" w:lineRule="auto"/>
        <w:ind w:left="720"/>
        <w:rPr>
          <w:rFonts w:asciiTheme="minorHAnsi" w:hAnsiTheme="minorHAnsi" w:cs="Arial"/>
          <w:color w:val="000000"/>
        </w:rPr>
      </w:pPr>
      <w:r w:rsidRPr="00216069">
        <w:rPr>
          <w:rFonts w:asciiTheme="minorHAnsi" w:hAnsiTheme="minorHAnsi" w:cs="Arial"/>
          <w:color w:val="000000"/>
        </w:rPr>
        <w:t>Animal studies with the racemic mixture omeprazole, given by oral administration do not indicate effects with respect to fertility.</w:t>
      </w:r>
    </w:p>
    <w:p w14:paraId="26D41F1D" w14:textId="77777777" w:rsidR="00DC4881" w:rsidRPr="00216069" w:rsidRDefault="00DC4881" w:rsidP="006E5361">
      <w:pPr>
        <w:pStyle w:val="ListParagraph"/>
        <w:spacing w:after="0" w:line="360" w:lineRule="auto"/>
        <w:ind w:left="0"/>
        <w:rPr>
          <w:rFonts w:asciiTheme="minorHAnsi" w:hAnsiTheme="minorHAnsi"/>
          <w:lang w:val="en-GB"/>
        </w:rPr>
      </w:pPr>
    </w:p>
    <w:p w14:paraId="32BA6ABC"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4.7 </w:t>
      </w:r>
      <w:r w:rsidR="00AE30FE" w:rsidRPr="00216069">
        <w:rPr>
          <w:rFonts w:asciiTheme="minorHAnsi" w:hAnsiTheme="minorHAnsi"/>
          <w:b/>
          <w:lang w:val="en-GB"/>
        </w:rPr>
        <w:t>Effects on the ability to drive and use machines</w:t>
      </w:r>
    </w:p>
    <w:p w14:paraId="1A73D8C7" w14:textId="247DC4C6" w:rsidR="00DC4881" w:rsidRPr="00216069" w:rsidRDefault="003A67E9" w:rsidP="00EF1D88">
      <w:pPr>
        <w:pStyle w:val="ListParagraph"/>
        <w:spacing w:after="0" w:line="360" w:lineRule="auto"/>
        <w:rPr>
          <w:rFonts w:asciiTheme="minorHAnsi" w:hAnsiTheme="minorHAnsi" w:cs="Arial"/>
          <w:color w:val="000000"/>
          <w:shd w:val="clear" w:color="auto" w:fill="FFFFFF"/>
          <w:lang w:val="en-GB"/>
        </w:rPr>
      </w:pPr>
      <w:r w:rsidRPr="00216069">
        <w:rPr>
          <w:rFonts w:asciiTheme="minorHAnsi" w:hAnsiTheme="minorHAnsi" w:cs="Arial"/>
          <w:color w:val="000000"/>
          <w:shd w:val="clear" w:color="auto" w:fill="FFFFFF"/>
          <w:lang w:val="en-GB"/>
        </w:rPr>
        <w:t>Omeprazole is</w:t>
      </w:r>
      <w:r w:rsidR="00A42C98" w:rsidRPr="00216069">
        <w:rPr>
          <w:rFonts w:asciiTheme="minorHAnsi" w:hAnsiTheme="minorHAnsi" w:cs="Arial"/>
          <w:color w:val="000000"/>
          <w:shd w:val="clear" w:color="auto" w:fill="FFFFFF"/>
          <w:lang w:val="en-GB"/>
        </w:rPr>
        <w:t xml:space="preserve"> not likely to affect the ability to drive or use machines. Adverse drug reactions such as dizziness and visual disturbances may occur. If affected, patients should not drive or operate machinery.</w:t>
      </w:r>
    </w:p>
    <w:p w14:paraId="695009AE" w14:textId="77777777" w:rsidR="00A42C98" w:rsidRPr="00216069" w:rsidRDefault="00A42C98" w:rsidP="006E5361">
      <w:pPr>
        <w:pStyle w:val="ListParagraph"/>
        <w:spacing w:after="0" w:line="360" w:lineRule="auto"/>
        <w:ind w:left="0"/>
        <w:rPr>
          <w:rFonts w:asciiTheme="minorHAnsi" w:hAnsiTheme="minorHAnsi"/>
          <w:lang w:val="en-GB"/>
        </w:rPr>
      </w:pPr>
    </w:p>
    <w:p w14:paraId="3E904BAD"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4.8 </w:t>
      </w:r>
      <w:r w:rsidR="00AE30FE" w:rsidRPr="00216069">
        <w:rPr>
          <w:rFonts w:asciiTheme="minorHAnsi" w:hAnsiTheme="minorHAnsi"/>
          <w:b/>
          <w:lang w:val="en-GB"/>
        </w:rPr>
        <w:t>Undesirable effects</w:t>
      </w:r>
    </w:p>
    <w:p w14:paraId="40B4022A" w14:textId="1211919E" w:rsidR="00A42C98" w:rsidRPr="00216069" w:rsidRDefault="00EF1D88" w:rsidP="006E5361">
      <w:pPr>
        <w:spacing w:after="0" w:line="360" w:lineRule="auto"/>
        <w:rPr>
          <w:rFonts w:asciiTheme="minorHAnsi" w:hAnsiTheme="minorHAnsi"/>
          <w:bCs/>
          <w:u w:val="single"/>
          <w:lang w:val="en-GB"/>
        </w:rPr>
      </w:pPr>
      <w:r w:rsidRPr="00216069">
        <w:rPr>
          <w:rFonts w:asciiTheme="minorHAnsi" w:hAnsiTheme="minorHAnsi"/>
          <w:b/>
          <w:lang w:val="en-GB"/>
        </w:rPr>
        <w:tab/>
      </w:r>
      <w:r w:rsidRPr="00216069">
        <w:rPr>
          <w:rFonts w:asciiTheme="minorHAnsi" w:hAnsiTheme="minorHAnsi"/>
          <w:bCs/>
          <w:u w:val="single"/>
          <w:lang w:val="en-GB"/>
        </w:rPr>
        <w:t>Summary of the safety profile</w:t>
      </w:r>
    </w:p>
    <w:p w14:paraId="470C0BED" w14:textId="11310F88" w:rsidR="00EF1D88" w:rsidRPr="00216069" w:rsidRDefault="00EF1D88" w:rsidP="00EF1D88">
      <w:pPr>
        <w:spacing w:after="0" w:line="360" w:lineRule="auto"/>
        <w:ind w:left="720"/>
        <w:rPr>
          <w:rFonts w:asciiTheme="minorHAnsi" w:hAnsiTheme="minorHAnsi"/>
          <w:bCs/>
          <w:lang w:val="en-GB"/>
        </w:rPr>
      </w:pPr>
      <w:r w:rsidRPr="00216069">
        <w:rPr>
          <w:rFonts w:asciiTheme="minorHAnsi" w:hAnsiTheme="minorHAnsi"/>
          <w:bCs/>
          <w:lang w:val="en-GB"/>
        </w:rPr>
        <w:t>The most common side effects (1-10% of patients) are headache, abdominal pain, constipation, diarrhoea, flatulence, nausea and vomiting.</w:t>
      </w:r>
    </w:p>
    <w:p w14:paraId="54C3E8B0" w14:textId="77777777" w:rsidR="00A42C98" w:rsidRPr="00216069" w:rsidRDefault="00A42C98" w:rsidP="00EF1D88">
      <w:pPr>
        <w:pStyle w:val="ListParagraph"/>
        <w:spacing w:after="0" w:line="360" w:lineRule="auto"/>
        <w:ind w:left="709"/>
        <w:rPr>
          <w:rFonts w:asciiTheme="minorHAnsi" w:hAnsiTheme="minorHAnsi"/>
          <w:lang w:val="en-GB"/>
        </w:rPr>
      </w:pPr>
      <w:r w:rsidRPr="00216069">
        <w:rPr>
          <w:rFonts w:asciiTheme="minorHAnsi" w:hAnsiTheme="minorHAnsi"/>
          <w:lang w:val="en-GB"/>
        </w:rPr>
        <w:t>The frequencies of adverse reactions reported with omeprazole are defined as:</w:t>
      </w:r>
    </w:p>
    <w:p w14:paraId="7AC28332" w14:textId="77777777" w:rsidR="00A42C98" w:rsidRPr="00216069" w:rsidRDefault="00A42C98" w:rsidP="00EF1D88">
      <w:pPr>
        <w:pStyle w:val="ListParagraph"/>
        <w:numPr>
          <w:ilvl w:val="0"/>
          <w:numId w:val="23"/>
        </w:numPr>
        <w:spacing w:after="0" w:line="360" w:lineRule="auto"/>
        <w:ind w:left="992"/>
        <w:rPr>
          <w:rFonts w:asciiTheme="minorHAnsi" w:hAnsiTheme="minorHAnsi"/>
          <w:lang w:val="en-GB"/>
        </w:rPr>
      </w:pPr>
      <w:r w:rsidRPr="00216069">
        <w:rPr>
          <w:rFonts w:asciiTheme="minorHAnsi" w:hAnsiTheme="minorHAnsi"/>
          <w:lang w:val="en-GB"/>
        </w:rPr>
        <w:t>very common (≥ 1/10)</w:t>
      </w:r>
    </w:p>
    <w:p w14:paraId="13301E83" w14:textId="77777777" w:rsidR="00A42C98" w:rsidRPr="00216069" w:rsidRDefault="00A42C98" w:rsidP="00EF1D88">
      <w:pPr>
        <w:pStyle w:val="ListParagraph"/>
        <w:numPr>
          <w:ilvl w:val="0"/>
          <w:numId w:val="23"/>
        </w:numPr>
        <w:spacing w:after="0" w:line="360" w:lineRule="auto"/>
        <w:ind w:left="992"/>
        <w:rPr>
          <w:rFonts w:asciiTheme="minorHAnsi" w:hAnsiTheme="minorHAnsi"/>
          <w:lang w:val="en-GB"/>
        </w:rPr>
      </w:pPr>
      <w:r w:rsidRPr="00216069">
        <w:rPr>
          <w:rFonts w:asciiTheme="minorHAnsi" w:hAnsiTheme="minorHAnsi"/>
          <w:lang w:val="en-GB"/>
        </w:rPr>
        <w:t>common (≥ 1/100 to &lt; 1/10)</w:t>
      </w:r>
    </w:p>
    <w:p w14:paraId="380F391E" w14:textId="77777777" w:rsidR="00A42C98" w:rsidRPr="00216069" w:rsidRDefault="00A42C98" w:rsidP="00EF1D88">
      <w:pPr>
        <w:pStyle w:val="ListParagraph"/>
        <w:numPr>
          <w:ilvl w:val="0"/>
          <w:numId w:val="23"/>
        </w:numPr>
        <w:spacing w:after="0" w:line="360" w:lineRule="auto"/>
        <w:ind w:left="992"/>
        <w:rPr>
          <w:rFonts w:asciiTheme="minorHAnsi" w:hAnsiTheme="minorHAnsi"/>
          <w:lang w:val="en-GB"/>
        </w:rPr>
      </w:pPr>
      <w:r w:rsidRPr="00216069">
        <w:rPr>
          <w:rFonts w:asciiTheme="minorHAnsi" w:hAnsiTheme="minorHAnsi"/>
          <w:lang w:val="en-GB"/>
        </w:rPr>
        <w:t>uncommon (≥ 1/1,000 to &lt; 1/100)</w:t>
      </w:r>
    </w:p>
    <w:p w14:paraId="3B0F1036" w14:textId="77777777" w:rsidR="00A42C98" w:rsidRPr="00216069" w:rsidRDefault="00A42C98" w:rsidP="00EF1D88">
      <w:pPr>
        <w:pStyle w:val="ListParagraph"/>
        <w:numPr>
          <w:ilvl w:val="0"/>
          <w:numId w:val="23"/>
        </w:numPr>
        <w:spacing w:after="0" w:line="360" w:lineRule="auto"/>
        <w:ind w:left="992"/>
        <w:rPr>
          <w:rFonts w:asciiTheme="minorHAnsi" w:hAnsiTheme="minorHAnsi"/>
          <w:lang w:val="en-GB"/>
        </w:rPr>
      </w:pPr>
      <w:r w:rsidRPr="00216069">
        <w:rPr>
          <w:rFonts w:asciiTheme="minorHAnsi" w:hAnsiTheme="minorHAnsi"/>
          <w:lang w:val="en-GB"/>
        </w:rPr>
        <w:t>rare (≥ 1/10,000 to &lt; 1/1,000)</w:t>
      </w:r>
    </w:p>
    <w:p w14:paraId="4BEDB910" w14:textId="77777777" w:rsidR="00A42C98" w:rsidRPr="00216069" w:rsidRDefault="00A42C98" w:rsidP="00EF1D88">
      <w:pPr>
        <w:pStyle w:val="ListParagraph"/>
        <w:numPr>
          <w:ilvl w:val="0"/>
          <w:numId w:val="23"/>
        </w:numPr>
        <w:spacing w:after="0" w:line="360" w:lineRule="auto"/>
        <w:ind w:left="992"/>
        <w:rPr>
          <w:rFonts w:asciiTheme="minorHAnsi" w:hAnsiTheme="minorHAnsi"/>
          <w:lang w:val="en-GB"/>
        </w:rPr>
      </w:pPr>
      <w:r w:rsidRPr="00216069">
        <w:rPr>
          <w:rFonts w:asciiTheme="minorHAnsi" w:hAnsiTheme="minorHAnsi"/>
          <w:lang w:val="en-GB"/>
        </w:rPr>
        <w:t>very rare ( &lt; 1/10,000)</w:t>
      </w:r>
    </w:p>
    <w:p w14:paraId="79E185A8" w14:textId="77777777" w:rsidR="00A42C98" w:rsidRPr="00216069" w:rsidRDefault="00A42C98" w:rsidP="00EF1D88">
      <w:pPr>
        <w:pStyle w:val="ListParagraph"/>
        <w:numPr>
          <w:ilvl w:val="0"/>
          <w:numId w:val="23"/>
        </w:numPr>
        <w:spacing w:after="0" w:line="360" w:lineRule="auto"/>
        <w:ind w:left="992"/>
        <w:rPr>
          <w:rFonts w:asciiTheme="minorHAnsi" w:hAnsiTheme="minorHAnsi"/>
          <w:lang w:val="en-GB"/>
        </w:rPr>
      </w:pPr>
      <w:r w:rsidRPr="00216069">
        <w:rPr>
          <w:rFonts w:asciiTheme="minorHAnsi" w:hAnsiTheme="minorHAnsi"/>
          <w:lang w:val="en-GB"/>
        </w:rPr>
        <w:t>not known (cannot be estimated from the available data)</w:t>
      </w:r>
    </w:p>
    <w:tbl>
      <w:tblPr>
        <w:tblW w:w="10365" w:type="dxa"/>
        <w:tblBorders>
          <w:top w:val="outset" w:sz="6" w:space="0" w:color="7B7B7B"/>
          <w:left w:val="outset" w:sz="6" w:space="0" w:color="7B7B7B"/>
          <w:bottom w:val="outset" w:sz="6" w:space="0" w:color="7B7B7B"/>
          <w:right w:val="outset" w:sz="6" w:space="0" w:color="7B7B7B"/>
        </w:tblBorders>
        <w:shd w:val="clear" w:color="auto" w:fill="FFFFFF"/>
        <w:tblCellMar>
          <w:top w:w="30" w:type="dxa"/>
          <w:left w:w="30" w:type="dxa"/>
          <w:bottom w:w="30" w:type="dxa"/>
          <w:right w:w="30" w:type="dxa"/>
        </w:tblCellMar>
        <w:tblLook w:val="04A0" w:firstRow="1" w:lastRow="0" w:firstColumn="1" w:lastColumn="0" w:noHBand="0" w:noVBand="1"/>
      </w:tblPr>
      <w:tblGrid>
        <w:gridCol w:w="3111"/>
        <w:gridCol w:w="5670"/>
        <w:gridCol w:w="1584"/>
      </w:tblGrid>
      <w:tr w:rsidR="00A42C98" w:rsidRPr="00216069" w14:paraId="563AE08E" w14:textId="77777777" w:rsidTr="00F55D87">
        <w:trPr>
          <w:gridAfter w:val="1"/>
          <w:wAfter w:w="764" w:type="pct"/>
          <w:tblHeader/>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36991EB1" w14:textId="28B38E55" w:rsidR="00A42C98" w:rsidRPr="00216069" w:rsidRDefault="00A42C98" w:rsidP="00D6109A">
            <w:pPr>
              <w:spacing w:after="0" w:line="240" w:lineRule="auto"/>
              <w:ind w:right="255"/>
              <w:rPr>
                <w:rFonts w:asciiTheme="minorHAnsi" w:eastAsia="Times New Roman" w:hAnsiTheme="minorHAnsi" w:cs="Arial"/>
                <w:b/>
                <w:bCs/>
                <w:color w:val="000000"/>
                <w:kern w:val="0"/>
                <w:lang w:val="en-GB" w:eastAsia="en-GB"/>
              </w:rPr>
            </w:pPr>
            <w:r w:rsidRPr="00216069">
              <w:rPr>
                <w:rFonts w:asciiTheme="minorHAnsi" w:eastAsia="Times New Roman" w:hAnsiTheme="minorHAnsi" w:cs="Arial"/>
                <w:b/>
                <w:bCs/>
                <w:color w:val="000000"/>
                <w:kern w:val="0"/>
                <w:lang w:val="en-GB" w:eastAsia="en-GB"/>
              </w:rPr>
              <w:t>System of Organ Class</w:t>
            </w:r>
          </w:p>
          <w:p w14:paraId="2B3B3B94" w14:textId="77777777" w:rsidR="00A42C98" w:rsidRPr="00216069" w:rsidRDefault="00A42C98" w:rsidP="00D6109A">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Frequency</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1A6956FD" w14:textId="77777777" w:rsidR="00A42C98" w:rsidRPr="00216069" w:rsidRDefault="00A42C98" w:rsidP="00D6109A">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Adverse reaction</w:t>
            </w:r>
          </w:p>
        </w:tc>
      </w:tr>
      <w:tr w:rsidR="00A42C98" w:rsidRPr="00216069" w14:paraId="54DA6F0F" w14:textId="77777777" w:rsidTr="00F55D87">
        <w:trPr>
          <w:gridAfter w:val="1"/>
          <w:wAfter w:w="764" w:type="pct"/>
        </w:trPr>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2BC58DB7"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Blood and lymphatic system disorders</w:t>
            </w:r>
          </w:p>
        </w:tc>
      </w:tr>
      <w:tr w:rsidR="00A42C98" w:rsidRPr="00216069" w14:paraId="2ECFCC34"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5AE37A86"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63E04BFB"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Leukopenia, thrombocytopenia</w:t>
            </w:r>
          </w:p>
        </w:tc>
      </w:tr>
      <w:tr w:rsidR="00A42C98" w:rsidRPr="00216069" w14:paraId="259F35D0"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74D9AF91"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Very 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5E315538"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Agranulocytosis, pancytopenia</w:t>
            </w:r>
          </w:p>
        </w:tc>
      </w:tr>
      <w:tr w:rsidR="00A42C98" w:rsidRPr="00216069" w14:paraId="1FEBA6C2" w14:textId="77777777" w:rsidTr="00F55D87">
        <w:trPr>
          <w:gridAfter w:val="1"/>
          <w:wAfter w:w="764" w:type="pct"/>
        </w:trPr>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67E038B0"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Immune system disorders</w:t>
            </w:r>
          </w:p>
        </w:tc>
      </w:tr>
      <w:tr w:rsidR="00A42C98" w:rsidRPr="00216069" w14:paraId="16274544"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2E692CC1"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13E6BE82"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Hypersensitivity reactions e.g. fever, angioedema and anaphylactic reaction/shock</w:t>
            </w:r>
          </w:p>
        </w:tc>
      </w:tr>
      <w:tr w:rsidR="00A42C98" w:rsidRPr="00216069" w14:paraId="359B3C0A" w14:textId="77777777" w:rsidTr="00F55D87">
        <w:trPr>
          <w:gridAfter w:val="1"/>
          <w:wAfter w:w="764" w:type="pct"/>
        </w:trPr>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7B98F27A"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Metabolism and nutrition disorders</w:t>
            </w:r>
          </w:p>
        </w:tc>
      </w:tr>
      <w:tr w:rsidR="00A42C98" w:rsidRPr="00216069" w14:paraId="0D8885C1"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1F5B2014"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05EA6DF2"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Hyponatraemia</w:t>
            </w:r>
          </w:p>
        </w:tc>
      </w:tr>
      <w:tr w:rsidR="00A42C98" w:rsidRPr="00216069" w14:paraId="28BDB0C3"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497FF05D"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Not known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4C3502EA"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Hypomagnesaemia</w:t>
            </w:r>
          </w:p>
        </w:tc>
      </w:tr>
      <w:tr w:rsidR="00A42C98" w:rsidRPr="00216069" w14:paraId="0E11F4DF" w14:textId="77777777" w:rsidTr="00F55D87">
        <w:trPr>
          <w:gridAfter w:val="1"/>
          <w:wAfter w:w="764" w:type="pct"/>
        </w:trPr>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1032F5F2"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Psychiatric disorders</w:t>
            </w:r>
          </w:p>
        </w:tc>
      </w:tr>
      <w:tr w:rsidR="00A42C98" w:rsidRPr="00216069" w14:paraId="75FE7C05"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61EBCC14"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lastRenderedPageBreak/>
              <w:t>Uncommon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2E00F688"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Insomnia</w:t>
            </w:r>
          </w:p>
        </w:tc>
      </w:tr>
      <w:tr w:rsidR="00A42C98" w:rsidRPr="00216069" w14:paraId="488A42C0"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3EE8C9FF"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039A10FC"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Agitation, confusion, depression</w:t>
            </w:r>
          </w:p>
        </w:tc>
      </w:tr>
      <w:tr w:rsidR="00A42C98" w:rsidRPr="00216069" w14:paraId="5E517328"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7B2FAA38"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Very 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6EA22AD0"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Aggression, hallucinations</w:t>
            </w:r>
          </w:p>
        </w:tc>
      </w:tr>
      <w:tr w:rsidR="00A42C98" w:rsidRPr="00216069" w14:paraId="3EDA17C3" w14:textId="77777777" w:rsidTr="00F55D87">
        <w:trPr>
          <w:gridAfter w:val="1"/>
          <w:wAfter w:w="764" w:type="pct"/>
        </w:trPr>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75BBC0A3"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Nervous system disorders</w:t>
            </w:r>
          </w:p>
        </w:tc>
      </w:tr>
      <w:tr w:rsidR="00A42C98" w:rsidRPr="00216069" w14:paraId="1A82FFE0"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4FCE7911"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Common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3F076A3A"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Headache</w:t>
            </w:r>
          </w:p>
        </w:tc>
      </w:tr>
      <w:tr w:rsidR="00A42C98" w:rsidRPr="00216069" w14:paraId="0EFF00DF"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2E9EEED2"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Uncommon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223CBBD8"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Dizziness, paraesthesia, somnolence</w:t>
            </w:r>
          </w:p>
        </w:tc>
      </w:tr>
      <w:tr w:rsidR="00A42C98" w:rsidRPr="00216069" w14:paraId="760F001F"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67D135B7"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60068AFD"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Taste disturbance</w:t>
            </w:r>
          </w:p>
        </w:tc>
      </w:tr>
      <w:tr w:rsidR="00A42C98" w:rsidRPr="00216069" w14:paraId="52374A49" w14:textId="77777777" w:rsidTr="00F55D87">
        <w:trPr>
          <w:gridAfter w:val="1"/>
          <w:wAfter w:w="764" w:type="pct"/>
        </w:trPr>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38849AE6"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Eye disorders</w:t>
            </w:r>
          </w:p>
        </w:tc>
      </w:tr>
      <w:tr w:rsidR="00A42C98" w:rsidRPr="00216069" w14:paraId="1594473B"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2E29BF77"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12A3161E"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Blurred vision</w:t>
            </w:r>
          </w:p>
        </w:tc>
      </w:tr>
      <w:tr w:rsidR="00A42C98" w:rsidRPr="00216069" w14:paraId="086990E8" w14:textId="77777777" w:rsidTr="00F55D87">
        <w:trPr>
          <w:gridAfter w:val="1"/>
          <w:wAfter w:w="764" w:type="pct"/>
        </w:trPr>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747D5D19"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Ear and labyrinth disorders</w:t>
            </w:r>
          </w:p>
        </w:tc>
      </w:tr>
      <w:tr w:rsidR="00A42C98" w:rsidRPr="00216069" w14:paraId="0AB5C821"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54E8BB78"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Uncommon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7F6CC45B"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Vertigo</w:t>
            </w:r>
          </w:p>
        </w:tc>
      </w:tr>
      <w:tr w:rsidR="00A42C98" w:rsidRPr="00216069" w14:paraId="64F7596F" w14:textId="77777777" w:rsidTr="00F55D87">
        <w:trPr>
          <w:gridAfter w:val="1"/>
          <w:wAfter w:w="764" w:type="pct"/>
        </w:trPr>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7ACB5135"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Respiratory, thoracic and mediastinal disorders</w:t>
            </w:r>
          </w:p>
        </w:tc>
      </w:tr>
      <w:tr w:rsidR="00A42C98" w:rsidRPr="00216069" w14:paraId="0A437E4E"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002EE8D8" w14:textId="77777777" w:rsidR="00A42C98" w:rsidRPr="00216069" w:rsidRDefault="00E7490F"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22A76111"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Bronchospasm</w:t>
            </w:r>
          </w:p>
        </w:tc>
      </w:tr>
      <w:tr w:rsidR="00A42C98" w:rsidRPr="00216069" w14:paraId="77A6B7C2" w14:textId="77777777" w:rsidTr="00F55D87">
        <w:trPr>
          <w:gridAfter w:val="1"/>
          <w:wAfter w:w="764" w:type="pct"/>
        </w:trPr>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5A512FE1" w14:textId="77777777" w:rsidR="00A42C98" w:rsidRPr="00216069" w:rsidRDefault="00A42C98"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Gastrointestinal disorders</w:t>
            </w:r>
          </w:p>
        </w:tc>
      </w:tr>
      <w:tr w:rsidR="00A42C98" w:rsidRPr="00216069" w14:paraId="3F540624"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51E47254" w14:textId="77777777" w:rsidR="00A42C98" w:rsidRPr="00216069" w:rsidRDefault="00E7490F"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Common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4402ED3D"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Abdominal pain, constipation, diarrhoea, flatulence, nausea/vomiting, fundic gland polyps (benign)</w:t>
            </w:r>
          </w:p>
        </w:tc>
      </w:tr>
      <w:tr w:rsidR="00A42C98" w:rsidRPr="00216069" w14:paraId="53B730FA"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157C69C6" w14:textId="77777777" w:rsidR="00A42C98" w:rsidRPr="00216069" w:rsidRDefault="00E7490F"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60F28A79" w14:textId="77777777" w:rsidR="00A42C98" w:rsidRPr="00216069" w:rsidRDefault="00A42C98"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Dry mouth, stomatitis, gastrointestinal candidiasis</w:t>
            </w:r>
          </w:p>
        </w:tc>
      </w:tr>
      <w:tr w:rsidR="00F55D87" w:rsidRPr="00216069" w14:paraId="29BA611A" w14:textId="77777777" w:rsidTr="00F55D87">
        <w:trPr>
          <w:gridAfter w:val="1"/>
          <w:wAfter w:w="764" w:type="pct"/>
        </w:trPr>
        <w:tc>
          <w:tcPr>
            <w:tcW w:w="1501" w:type="pct"/>
            <w:tcBorders>
              <w:top w:val="outset" w:sz="6" w:space="0" w:color="7B7B7B"/>
              <w:left w:val="outset" w:sz="6" w:space="0" w:color="7B7B7B"/>
              <w:bottom w:val="outset" w:sz="6" w:space="0" w:color="7B7B7B"/>
              <w:right w:val="outset" w:sz="6" w:space="0" w:color="7B7B7B"/>
            </w:tcBorders>
            <w:shd w:val="clear" w:color="auto" w:fill="FFFFFF"/>
          </w:tcPr>
          <w:p w14:paraId="371CA619" w14:textId="2D741017" w:rsidR="00F55D87" w:rsidRPr="00216069" w:rsidRDefault="00F55D87" w:rsidP="00F55D87">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Not known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tcPr>
          <w:p w14:paraId="611CD23D" w14:textId="1C3CDC63" w:rsidR="00F55D87" w:rsidRPr="00216069" w:rsidRDefault="00F55D87" w:rsidP="00F55D87">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Microscopic colitis</w:t>
            </w:r>
          </w:p>
        </w:tc>
      </w:tr>
      <w:tr w:rsidR="00A42C98" w:rsidRPr="00216069" w14:paraId="40A9B894" w14:textId="77777777" w:rsidTr="00F55D87">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062814B6" w14:textId="77777777" w:rsidR="00A42C98" w:rsidRPr="00216069" w:rsidRDefault="00A42C98" w:rsidP="00655021">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Hepatobiliary disorders</w:t>
            </w:r>
          </w:p>
        </w:tc>
        <w:tc>
          <w:tcPr>
            <w:tcW w:w="764" w:type="pct"/>
            <w:shd w:val="clear" w:color="auto" w:fill="FFFFFF"/>
            <w:vAlign w:val="center"/>
            <w:hideMark/>
          </w:tcPr>
          <w:p w14:paraId="4AAF42FD"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04E66BFE"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4A1AE958" w14:textId="77777777" w:rsidR="00A42C98" w:rsidRPr="00216069" w:rsidRDefault="00E7490F" w:rsidP="00655021">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Uncommon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0576BE2C" w14:textId="77777777" w:rsidR="00A42C98" w:rsidRPr="00216069" w:rsidRDefault="00A42C98" w:rsidP="00655021">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Increased liver enzymes</w:t>
            </w:r>
          </w:p>
        </w:tc>
        <w:tc>
          <w:tcPr>
            <w:tcW w:w="764" w:type="pct"/>
            <w:shd w:val="clear" w:color="auto" w:fill="FFFFFF"/>
            <w:vAlign w:val="center"/>
            <w:hideMark/>
          </w:tcPr>
          <w:p w14:paraId="376A525C"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779B2A1F"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16C99737" w14:textId="77777777" w:rsidR="00A42C98" w:rsidRPr="00216069" w:rsidRDefault="00A42C98" w:rsidP="00655021">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w:t>
            </w:r>
            <w:r w:rsidR="00E7490F" w:rsidRPr="00216069">
              <w:rPr>
                <w:rFonts w:asciiTheme="minorHAnsi" w:eastAsia="Times New Roman" w:hAnsiTheme="minorHAnsi" w:cs="Arial"/>
                <w:color w:val="000000"/>
                <w:kern w:val="0"/>
                <w:lang w:val="en-GB" w:eastAsia="en-GB"/>
              </w:rPr>
              <w:t>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4EBAC556" w14:textId="77777777" w:rsidR="00A42C98" w:rsidRPr="00216069" w:rsidRDefault="00A42C98" w:rsidP="00655021">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Hepatitis with or without jaundice</w:t>
            </w:r>
          </w:p>
        </w:tc>
        <w:tc>
          <w:tcPr>
            <w:tcW w:w="764" w:type="pct"/>
            <w:shd w:val="clear" w:color="auto" w:fill="FFFFFF"/>
            <w:vAlign w:val="center"/>
            <w:hideMark/>
          </w:tcPr>
          <w:p w14:paraId="6E316276"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5F24CB4B"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16ABDEC6" w14:textId="77777777" w:rsidR="00A42C98" w:rsidRPr="00216069" w:rsidRDefault="00E7490F" w:rsidP="00655021">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Very 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5A8E20FA" w14:textId="77777777" w:rsidR="00A42C98" w:rsidRPr="00216069" w:rsidRDefault="00A42C98" w:rsidP="00655021">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Hepatic failure, encephalopathy in patients with pre-existing liver disease</w:t>
            </w:r>
          </w:p>
        </w:tc>
        <w:tc>
          <w:tcPr>
            <w:tcW w:w="764" w:type="pct"/>
            <w:shd w:val="clear" w:color="auto" w:fill="FFFFFF"/>
            <w:vAlign w:val="center"/>
            <w:hideMark/>
          </w:tcPr>
          <w:p w14:paraId="199408DD"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267F83DC" w14:textId="77777777" w:rsidTr="00F55D87">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2197E140" w14:textId="77777777" w:rsidR="00A42C98" w:rsidRPr="00216069" w:rsidRDefault="00A42C98" w:rsidP="00655021">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Skin and subcutaneous tissue disorders</w:t>
            </w:r>
          </w:p>
        </w:tc>
        <w:tc>
          <w:tcPr>
            <w:tcW w:w="764" w:type="pct"/>
            <w:shd w:val="clear" w:color="auto" w:fill="FFFFFF"/>
            <w:vAlign w:val="center"/>
            <w:hideMark/>
          </w:tcPr>
          <w:p w14:paraId="5AA92865"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361AA769"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04F2483F" w14:textId="77777777" w:rsidR="00A42C98" w:rsidRPr="00216069" w:rsidRDefault="00E7490F" w:rsidP="00655021">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Uncommon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5DCA4AA3" w14:textId="77777777" w:rsidR="00A42C98" w:rsidRPr="00216069" w:rsidRDefault="00A42C98" w:rsidP="00655021">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Dermatitis, pruritus, rash, urticaria</w:t>
            </w:r>
          </w:p>
        </w:tc>
        <w:tc>
          <w:tcPr>
            <w:tcW w:w="764" w:type="pct"/>
            <w:shd w:val="clear" w:color="auto" w:fill="FFFFFF"/>
            <w:vAlign w:val="center"/>
            <w:hideMark/>
          </w:tcPr>
          <w:p w14:paraId="349E406F"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6C13C9D9"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37952CC1" w14:textId="77777777" w:rsidR="00A42C98" w:rsidRPr="00216069" w:rsidRDefault="00E7490F" w:rsidP="00655021">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70E2B822" w14:textId="77777777" w:rsidR="00A42C98" w:rsidRPr="00216069" w:rsidRDefault="00A42C98" w:rsidP="00655021">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Alopecia, photosensitivity</w:t>
            </w:r>
          </w:p>
        </w:tc>
        <w:tc>
          <w:tcPr>
            <w:tcW w:w="764" w:type="pct"/>
            <w:shd w:val="clear" w:color="auto" w:fill="FFFFFF"/>
            <w:vAlign w:val="center"/>
            <w:hideMark/>
          </w:tcPr>
          <w:p w14:paraId="44BEF041"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0AE18FFE"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4E337AAC" w14:textId="77777777" w:rsidR="00A42C98" w:rsidRPr="00216069" w:rsidRDefault="00E7490F" w:rsidP="00655021">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Very 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27F6079B" w14:textId="77777777" w:rsidR="00A42C98" w:rsidRPr="00216069" w:rsidRDefault="00A42C98" w:rsidP="00655021">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Erythema multiforme, Stevens-Johnson syndrome, toxic epidermal necrolysis (TEN)</w:t>
            </w:r>
          </w:p>
        </w:tc>
        <w:tc>
          <w:tcPr>
            <w:tcW w:w="764" w:type="pct"/>
            <w:shd w:val="clear" w:color="auto" w:fill="FFFFFF"/>
            <w:vAlign w:val="center"/>
            <w:hideMark/>
          </w:tcPr>
          <w:p w14:paraId="248E8719"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7BDF4E37"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0A5DC8CF" w14:textId="77777777" w:rsidR="00A42C98" w:rsidRPr="00216069" w:rsidRDefault="00E7490F" w:rsidP="00655021">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Not known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4AED7641" w14:textId="77777777" w:rsidR="00A42C98" w:rsidRPr="00216069" w:rsidRDefault="00A42C98" w:rsidP="00655021">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Subacute cutaneous lupus erythematosus</w:t>
            </w:r>
          </w:p>
        </w:tc>
        <w:tc>
          <w:tcPr>
            <w:tcW w:w="764" w:type="pct"/>
            <w:shd w:val="clear" w:color="auto" w:fill="FFFFFF"/>
            <w:vAlign w:val="center"/>
            <w:hideMark/>
          </w:tcPr>
          <w:p w14:paraId="12DE7947"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23BEC639" w14:textId="77777777" w:rsidTr="00F55D87">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40C88160" w14:textId="77777777" w:rsidR="00A42C98" w:rsidRPr="00216069" w:rsidRDefault="00A42C98" w:rsidP="00655021">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Musculoskeletal and connective tissue disorders</w:t>
            </w:r>
          </w:p>
        </w:tc>
        <w:tc>
          <w:tcPr>
            <w:tcW w:w="764" w:type="pct"/>
            <w:shd w:val="clear" w:color="auto" w:fill="FFFFFF"/>
            <w:vAlign w:val="center"/>
            <w:hideMark/>
          </w:tcPr>
          <w:p w14:paraId="67182134"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3AE24A11"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68C7359F" w14:textId="77777777" w:rsidR="00A42C98" w:rsidRPr="00216069" w:rsidRDefault="00E7490F" w:rsidP="005F2020">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Uncommon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3D610874" w14:textId="77777777" w:rsidR="00A42C98" w:rsidRPr="00216069" w:rsidRDefault="00A42C98" w:rsidP="005F2020">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Fracture of the hip, wrist or spine</w:t>
            </w:r>
          </w:p>
        </w:tc>
        <w:tc>
          <w:tcPr>
            <w:tcW w:w="764" w:type="pct"/>
            <w:shd w:val="clear" w:color="auto" w:fill="FFFFFF"/>
            <w:vAlign w:val="center"/>
            <w:hideMark/>
          </w:tcPr>
          <w:p w14:paraId="4E8E0F00"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79206A92"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16404A91" w14:textId="77777777" w:rsidR="00A42C98" w:rsidRPr="00216069" w:rsidRDefault="00E7490F" w:rsidP="005F2020">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3B794EBA" w14:textId="77777777" w:rsidR="00A42C98" w:rsidRPr="00216069" w:rsidRDefault="00A42C98" w:rsidP="005F2020">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Arthralgia, myalgia</w:t>
            </w:r>
          </w:p>
        </w:tc>
        <w:tc>
          <w:tcPr>
            <w:tcW w:w="764" w:type="pct"/>
            <w:shd w:val="clear" w:color="auto" w:fill="FFFFFF"/>
            <w:vAlign w:val="center"/>
            <w:hideMark/>
          </w:tcPr>
          <w:p w14:paraId="37CE1C4C"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0FCD92E2"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6BA55082" w14:textId="77777777" w:rsidR="00A42C98" w:rsidRPr="00216069" w:rsidRDefault="00E7490F" w:rsidP="005F2020">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Very 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400E739A" w14:textId="77777777" w:rsidR="00A42C98" w:rsidRPr="00216069" w:rsidRDefault="00A42C98" w:rsidP="005F2020">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Muscular weakness</w:t>
            </w:r>
          </w:p>
        </w:tc>
        <w:tc>
          <w:tcPr>
            <w:tcW w:w="764" w:type="pct"/>
            <w:shd w:val="clear" w:color="auto" w:fill="FFFFFF"/>
            <w:vAlign w:val="center"/>
            <w:hideMark/>
          </w:tcPr>
          <w:p w14:paraId="0575B5D6"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23958CF7" w14:textId="77777777" w:rsidTr="00F55D87">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5C88AE28" w14:textId="77777777" w:rsidR="00A42C98" w:rsidRPr="00216069" w:rsidRDefault="00A42C98" w:rsidP="005F2020">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Renal and urinary disorders</w:t>
            </w:r>
          </w:p>
        </w:tc>
        <w:tc>
          <w:tcPr>
            <w:tcW w:w="764" w:type="pct"/>
            <w:shd w:val="clear" w:color="auto" w:fill="FFFFFF"/>
            <w:vAlign w:val="center"/>
            <w:hideMark/>
          </w:tcPr>
          <w:p w14:paraId="028E2E5E"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72019C6F"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3B4D97C8" w14:textId="77777777" w:rsidR="00A42C98" w:rsidRPr="00216069" w:rsidRDefault="00E7490F" w:rsidP="005F2020">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2AC4990B" w14:textId="77777777" w:rsidR="00A42C98" w:rsidRPr="00216069" w:rsidRDefault="00A42C98" w:rsidP="005F2020">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Interstitial nephritis</w:t>
            </w:r>
          </w:p>
        </w:tc>
        <w:tc>
          <w:tcPr>
            <w:tcW w:w="764" w:type="pct"/>
            <w:shd w:val="clear" w:color="auto" w:fill="FFFFFF"/>
            <w:vAlign w:val="center"/>
            <w:hideMark/>
          </w:tcPr>
          <w:p w14:paraId="532FF61D"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5B215DFD" w14:textId="77777777" w:rsidTr="00F55D87">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42DB4FBA" w14:textId="77777777" w:rsidR="00A42C98" w:rsidRPr="00216069" w:rsidRDefault="00A42C98" w:rsidP="005F2020">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Reproductive system and breast disorders</w:t>
            </w:r>
          </w:p>
        </w:tc>
        <w:tc>
          <w:tcPr>
            <w:tcW w:w="764" w:type="pct"/>
            <w:shd w:val="clear" w:color="auto" w:fill="FFFFFF"/>
            <w:vAlign w:val="center"/>
            <w:hideMark/>
          </w:tcPr>
          <w:p w14:paraId="728E60B8"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43794936"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2A1FA986" w14:textId="77777777" w:rsidR="00A42C98" w:rsidRPr="00216069" w:rsidRDefault="00E7490F" w:rsidP="005F2020">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lastRenderedPageBreak/>
              <w:t>Very 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hideMark/>
          </w:tcPr>
          <w:p w14:paraId="1BB741C3" w14:textId="77777777" w:rsidR="00A42C98" w:rsidRPr="00216069" w:rsidRDefault="00A42C98" w:rsidP="005F2020">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Gynaecomastia</w:t>
            </w:r>
          </w:p>
        </w:tc>
        <w:tc>
          <w:tcPr>
            <w:tcW w:w="764" w:type="pct"/>
            <w:shd w:val="clear" w:color="auto" w:fill="FFFFFF"/>
            <w:vAlign w:val="center"/>
            <w:hideMark/>
          </w:tcPr>
          <w:p w14:paraId="6062A5A3"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A42C98" w:rsidRPr="00216069" w14:paraId="2A24024F" w14:textId="77777777" w:rsidTr="00F55D87">
        <w:tc>
          <w:tcPr>
            <w:tcW w:w="4236" w:type="pct"/>
            <w:gridSpan w:val="2"/>
            <w:tcBorders>
              <w:top w:val="outset" w:sz="6" w:space="0" w:color="7B7B7B"/>
              <w:left w:val="outset" w:sz="6" w:space="0" w:color="7B7B7B"/>
              <w:bottom w:val="outset" w:sz="6" w:space="0" w:color="7B7B7B"/>
              <w:right w:val="outset" w:sz="6" w:space="0" w:color="7B7B7B"/>
            </w:tcBorders>
            <w:shd w:val="clear" w:color="auto" w:fill="FFFFFF"/>
            <w:hideMark/>
          </w:tcPr>
          <w:p w14:paraId="1EFA8525" w14:textId="77777777" w:rsidR="00A42C98" w:rsidRPr="00216069" w:rsidRDefault="00A42C98" w:rsidP="005F2020">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b/>
                <w:bCs/>
                <w:color w:val="000000"/>
                <w:kern w:val="0"/>
                <w:lang w:val="en-GB" w:eastAsia="en-GB"/>
              </w:rPr>
              <w:t>General disorders and administration site conditions</w:t>
            </w:r>
          </w:p>
        </w:tc>
        <w:tc>
          <w:tcPr>
            <w:tcW w:w="764" w:type="pct"/>
            <w:shd w:val="clear" w:color="auto" w:fill="FFFFFF"/>
            <w:vAlign w:val="center"/>
            <w:hideMark/>
          </w:tcPr>
          <w:p w14:paraId="0BD29ED5" w14:textId="77777777" w:rsidR="00A42C98" w:rsidRPr="00216069" w:rsidRDefault="00A42C98" w:rsidP="00F55D87">
            <w:pPr>
              <w:spacing w:after="0" w:line="360" w:lineRule="auto"/>
              <w:rPr>
                <w:rFonts w:asciiTheme="minorHAnsi" w:eastAsia="Times New Roman" w:hAnsiTheme="minorHAnsi"/>
                <w:kern w:val="0"/>
                <w:lang w:val="en-GB" w:eastAsia="en-GB"/>
              </w:rPr>
            </w:pPr>
          </w:p>
        </w:tc>
      </w:tr>
      <w:tr w:rsidR="005F2020" w:rsidRPr="00216069" w14:paraId="0521FDDE" w14:textId="77777777" w:rsidTr="00F55D87">
        <w:tc>
          <w:tcPr>
            <w:tcW w:w="1501" w:type="pct"/>
            <w:tcBorders>
              <w:top w:val="outset" w:sz="6" w:space="0" w:color="7B7B7B"/>
              <w:left w:val="outset" w:sz="6" w:space="0" w:color="7B7B7B"/>
              <w:bottom w:val="outset" w:sz="6" w:space="0" w:color="7B7B7B"/>
              <w:right w:val="outset" w:sz="6" w:space="0" w:color="7B7B7B"/>
            </w:tcBorders>
            <w:shd w:val="clear" w:color="auto" w:fill="FFFFFF"/>
          </w:tcPr>
          <w:p w14:paraId="51CCDEEF" w14:textId="60995E1A" w:rsidR="005F2020" w:rsidRPr="00216069" w:rsidRDefault="005F2020" w:rsidP="005F2020">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Uncommon</w:t>
            </w:r>
          </w:p>
        </w:tc>
        <w:tc>
          <w:tcPr>
            <w:tcW w:w="2735" w:type="pct"/>
            <w:tcBorders>
              <w:top w:val="outset" w:sz="6" w:space="0" w:color="7B7B7B"/>
              <w:left w:val="outset" w:sz="6" w:space="0" w:color="7B7B7B"/>
              <w:bottom w:val="outset" w:sz="6" w:space="0" w:color="7B7B7B"/>
              <w:right w:val="outset" w:sz="6" w:space="0" w:color="7B7B7B"/>
            </w:tcBorders>
            <w:shd w:val="clear" w:color="auto" w:fill="FFFFFF"/>
          </w:tcPr>
          <w:p w14:paraId="3B916B0A" w14:textId="76BBFE62" w:rsidR="005F2020" w:rsidRPr="00216069" w:rsidRDefault="005F2020" w:rsidP="005F2020">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Malaise, peripheral oedema</w:t>
            </w:r>
          </w:p>
        </w:tc>
        <w:tc>
          <w:tcPr>
            <w:tcW w:w="764" w:type="pct"/>
            <w:shd w:val="clear" w:color="auto" w:fill="FFFFFF"/>
            <w:vAlign w:val="center"/>
          </w:tcPr>
          <w:p w14:paraId="54C42DE8" w14:textId="77777777" w:rsidR="005F2020" w:rsidRPr="00216069" w:rsidRDefault="005F2020" w:rsidP="005F2020">
            <w:pPr>
              <w:spacing w:after="0" w:line="360" w:lineRule="auto"/>
              <w:rPr>
                <w:rFonts w:asciiTheme="minorHAnsi" w:eastAsia="Times New Roman" w:hAnsiTheme="minorHAnsi"/>
                <w:kern w:val="0"/>
                <w:lang w:val="en-GB" w:eastAsia="en-GB"/>
              </w:rPr>
            </w:pPr>
          </w:p>
        </w:tc>
      </w:tr>
      <w:tr w:rsidR="00A42C98" w:rsidRPr="00216069" w14:paraId="3533C7F2" w14:textId="77777777" w:rsidTr="005F2020">
        <w:tc>
          <w:tcPr>
            <w:tcW w:w="1501" w:type="pct"/>
            <w:tcBorders>
              <w:top w:val="outset" w:sz="6" w:space="0" w:color="7B7B7B"/>
              <w:left w:val="outset" w:sz="6" w:space="0" w:color="7B7B7B"/>
              <w:bottom w:val="outset" w:sz="6" w:space="0" w:color="7B7B7B"/>
              <w:right w:val="outset" w:sz="6" w:space="0" w:color="7B7B7B"/>
            </w:tcBorders>
            <w:shd w:val="clear" w:color="auto" w:fill="FFFFFF"/>
            <w:hideMark/>
          </w:tcPr>
          <w:p w14:paraId="42795BA1" w14:textId="7AD4049E" w:rsidR="00A42C98" w:rsidRPr="00216069" w:rsidRDefault="005F2020" w:rsidP="005F2020">
            <w:pPr>
              <w:spacing w:after="0" w:line="240" w:lineRule="auto"/>
              <w:ind w:right="255"/>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Rare</w:t>
            </w:r>
          </w:p>
        </w:tc>
        <w:tc>
          <w:tcPr>
            <w:tcW w:w="2735" w:type="pct"/>
            <w:tcBorders>
              <w:top w:val="outset" w:sz="6" w:space="0" w:color="7B7B7B"/>
              <w:left w:val="outset" w:sz="6" w:space="0" w:color="7B7B7B"/>
              <w:bottom w:val="outset" w:sz="6" w:space="0" w:color="7B7B7B"/>
              <w:right w:val="outset" w:sz="6" w:space="0" w:color="7B7B7B"/>
            </w:tcBorders>
            <w:shd w:val="clear" w:color="auto" w:fill="FFFFFF"/>
          </w:tcPr>
          <w:p w14:paraId="44BCFB8A" w14:textId="4CECF64E" w:rsidR="00A42C98" w:rsidRPr="00216069" w:rsidRDefault="005F2020" w:rsidP="005F2020">
            <w:pPr>
              <w:spacing w:after="0" w:line="240" w:lineRule="auto"/>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Increased sweating</w:t>
            </w:r>
          </w:p>
        </w:tc>
        <w:tc>
          <w:tcPr>
            <w:tcW w:w="764" w:type="pct"/>
            <w:shd w:val="clear" w:color="auto" w:fill="FFFFFF"/>
            <w:vAlign w:val="center"/>
            <w:hideMark/>
          </w:tcPr>
          <w:p w14:paraId="210AC4FC" w14:textId="77777777" w:rsidR="00A42C98" w:rsidRPr="00216069" w:rsidRDefault="00A42C98" w:rsidP="00F55D87">
            <w:pPr>
              <w:spacing w:after="0" w:line="360" w:lineRule="auto"/>
              <w:rPr>
                <w:rFonts w:asciiTheme="minorHAnsi" w:eastAsia="Times New Roman" w:hAnsiTheme="minorHAnsi"/>
                <w:kern w:val="0"/>
                <w:lang w:val="en-GB" w:eastAsia="en-GB"/>
              </w:rPr>
            </w:pPr>
          </w:p>
        </w:tc>
      </w:tr>
    </w:tbl>
    <w:p w14:paraId="7E0E9384" w14:textId="77777777" w:rsidR="00A42C98" w:rsidRPr="00216069" w:rsidRDefault="00A42C98" w:rsidP="006E5361">
      <w:pPr>
        <w:spacing w:after="0" w:line="360" w:lineRule="auto"/>
        <w:rPr>
          <w:rFonts w:asciiTheme="minorHAnsi" w:hAnsiTheme="minorHAnsi"/>
          <w:b/>
          <w:lang w:val="en-GB"/>
        </w:rPr>
      </w:pPr>
    </w:p>
    <w:p w14:paraId="103E3753" w14:textId="77777777" w:rsidR="00E7490F" w:rsidRPr="00216069" w:rsidRDefault="00423069" w:rsidP="00485CD3">
      <w:pPr>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Cases of irreversible visual impairment have been reported in an isolated number of patients with severe systemic impairment who received intravenous omeprazole, mainly at high doses, but without confirmation of a causal link.</w:t>
      </w:r>
    </w:p>
    <w:p w14:paraId="3DDD351B" w14:textId="77777777" w:rsidR="00423069" w:rsidRPr="00216069" w:rsidRDefault="00423069" w:rsidP="006E5361">
      <w:pPr>
        <w:spacing w:after="0" w:line="360" w:lineRule="auto"/>
        <w:rPr>
          <w:rFonts w:asciiTheme="minorHAnsi" w:hAnsiTheme="minorHAnsi"/>
          <w:lang w:val="en-GB"/>
        </w:rPr>
      </w:pPr>
    </w:p>
    <w:p w14:paraId="6A4B315C"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4.9 </w:t>
      </w:r>
      <w:r w:rsidR="00AE30FE" w:rsidRPr="00216069">
        <w:rPr>
          <w:rFonts w:asciiTheme="minorHAnsi" w:hAnsiTheme="minorHAnsi"/>
          <w:b/>
          <w:lang w:val="en-GB"/>
        </w:rPr>
        <w:t>Overdose</w:t>
      </w:r>
    </w:p>
    <w:p w14:paraId="738D9992" w14:textId="77777777" w:rsidR="00E7490F" w:rsidRPr="00216069" w:rsidRDefault="00E7490F" w:rsidP="00485CD3">
      <w:pPr>
        <w:pStyle w:val="NormalWeb"/>
        <w:shd w:val="clear" w:color="auto" w:fill="FFFFFF"/>
        <w:spacing w:before="0" w:beforeAutospacing="0" w:after="143" w:afterAutospacing="0" w:line="360" w:lineRule="auto"/>
        <w:ind w:left="720"/>
        <w:rPr>
          <w:rFonts w:asciiTheme="minorHAnsi" w:hAnsiTheme="minorHAnsi" w:cs="Arial"/>
          <w:color w:val="000000"/>
        </w:rPr>
      </w:pPr>
      <w:r w:rsidRPr="00216069">
        <w:rPr>
          <w:rFonts w:asciiTheme="minorHAnsi" w:hAnsiTheme="minorHAnsi" w:cs="Arial"/>
          <w:color w:val="000000"/>
        </w:rPr>
        <w:t>There is limited information available on the effects of overdoses of omeprazole in humans. In the literature, doses of up to 560 mg have been described, and occasional reports have been received when single oral doses have reached up to 2,400 mg omeprazole (120 times the usual recommended clinical dose). Nausea, vomiting, dizziness, abdominal pain, diarrhoea and headache have been reported. Also apathy, depression and confusion have been described in single cases.</w:t>
      </w:r>
    </w:p>
    <w:p w14:paraId="1A4979D7" w14:textId="77777777" w:rsidR="00423069" w:rsidRPr="00216069" w:rsidRDefault="00423069" w:rsidP="00485CD3">
      <w:pPr>
        <w:pStyle w:val="NormalWeb"/>
        <w:shd w:val="clear" w:color="auto" w:fill="FFFFFF"/>
        <w:spacing w:before="0" w:beforeAutospacing="0" w:after="143" w:afterAutospacing="0" w:line="360" w:lineRule="auto"/>
        <w:ind w:left="720"/>
        <w:rPr>
          <w:rFonts w:asciiTheme="minorHAnsi" w:hAnsiTheme="minorHAnsi" w:cs="Arial"/>
          <w:color w:val="000000"/>
        </w:rPr>
      </w:pPr>
      <w:r w:rsidRPr="00216069">
        <w:rPr>
          <w:rFonts w:asciiTheme="minorHAnsi" w:hAnsiTheme="minorHAnsi" w:cs="Arial"/>
          <w:color w:val="000000"/>
        </w:rPr>
        <w:t>In clinical studies, intravenous doses of up to 270 mg on a single day and up to 650 mg over a three-day period did not result in dose-related adverse events.</w:t>
      </w:r>
    </w:p>
    <w:p w14:paraId="0FD3F411" w14:textId="77777777" w:rsidR="00E7490F" w:rsidRPr="00216069" w:rsidRDefault="00E7490F" w:rsidP="00485CD3">
      <w:pPr>
        <w:pStyle w:val="NormalWeb"/>
        <w:shd w:val="clear" w:color="auto" w:fill="FFFFFF"/>
        <w:spacing w:before="0" w:beforeAutospacing="0" w:after="143" w:afterAutospacing="0" w:line="360" w:lineRule="auto"/>
        <w:ind w:left="720"/>
        <w:rPr>
          <w:rFonts w:asciiTheme="minorHAnsi" w:hAnsiTheme="minorHAnsi" w:cs="Arial"/>
          <w:color w:val="000000"/>
        </w:rPr>
      </w:pPr>
      <w:r w:rsidRPr="00216069">
        <w:rPr>
          <w:rFonts w:asciiTheme="minorHAnsi" w:hAnsiTheme="minorHAnsi" w:cs="Arial"/>
          <w:color w:val="000000"/>
        </w:rPr>
        <w:t>The symptoms described have been transient, and no serious outcome has been reported. The rate of elimination was unchanged (first order kinetics) with increased doses. Treatment, if needed, is symptomatic.</w:t>
      </w:r>
    </w:p>
    <w:p w14:paraId="5146E42D" w14:textId="77777777" w:rsidR="002B3DDF" w:rsidRPr="00216069" w:rsidRDefault="002B3DDF" w:rsidP="006E5361">
      <w:pPr>
        <w:pStyle w:val="ListParagraph"/>
        <w:spacing w:after="0" w:line="360" w:lineRule="auto"/>
        <w:ind w:left="0"/>
        <w:rPr>
          <w:rFonts w:asciiTheme="minorHAnsi" w:hAnsiTheme="minorHAnsi"/>
          <w:lang w:val="en-GB"/>
        </w:rPr>
      </w:pPr>
    </w:p>
    <w:p w14:paraId="27AC6E70"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5- </w:t>
      </w:r>
      <w:r w:rsidR="00AE30FE" w:rsidRPr="00216069">
        <w:rPr>
          <w:rFonts w:asciiTheme="minorHAnsi" w:hAnsiTheme="minorHAnsi"/>
          <w:b/>
          <w:lang w:val="en-GB"/>
        </w:rPr>
        <w:t>PHARMACOLOGICAL PROPERTIES</w:t>
      </w:r>
    </w:p>
    <w:p w14:paraId="5C255748"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5.1 </w:t>
      </w:r>
      <w:r w:rsidR="00AE30FE" w:rsidRPr="00216069">
        <w:rPr>
          <w:rFonts w:asciiTheme="minorHAnsi" w:hAnsiTheme="minorHAnsi"/>
          <w:b/>
          <w:lang w:val="en-GB"/>
        </w:rPr>
        <w:t>Pharmacodynamic properties</w:t>
      </w:r>
    </w:p>
    <w:p w14:paraId="48792EF4" w14:textId="77777777" w:rsidR="00DC4881" w:rsidRPr="00216069" w:rsidRDefault="00DC4881" w:rsidP="00485CD3">
      <w:pPr>
        <w:spacing w:after="0" w:line="360" w:lineRule="auto"/>
        <w:ind w:left="720"/>
        <w:rPr>
          <w:rFonts w:asciiTheme="minorHAnsi" w:hAnsiTheme="minorHAnsi"/>
          <w:lang w:val="en-GB"/>
        </w:rPr>
      </w:pPr>
      <w:r w:rsidRPr="00216069">
        <w:rPr>
          <w:rFonts w:asciiTheme="minorHAnsi" w:hAnsiTheme="minorHAnsi"/>
          <w:lang w:val="en-GB"/>
        </w:rPr>
        <w:t>Pharmac</w:t>
      </w:r>
      <w:r w:rsidR="00B17706" w:rsidRPr="00216069">
        <w:rPr>
          <w:rFonts w:asciiTheme="minorHAnsi" w:hAnsiTheme="minorHAnsi"/>
          <w:lang w:val="en-GB"/>
        </w:rPr>
        <w:t>otherapeutic</w:t>
      </w:r>
      <w:r w:rsidRPr="00216069">
        <w:rPr>
          <w:rFonts w:asciiTheme="minorHAnsi" w:hAnsiTheme="minorHAnsi"/>
          <w:lang w:val="en-GB"/>
        </w:rPr>
        <w:t xml:space="preserve"> group and ATC </w:t>
      </w:r>
      <w:r w:rsidR="00187C99" w:rsidRPr="00216069">
        <w:rPr>
          <w:rFonts w:asciiTheme="minorHAnsi" w:hAnsiTheme="minorHAnsi"/>
          <w:lang w:val="en-GB"/>
        </w:rPr>
        <w:t>code:</w:t>
      </w:r>
      <w:r w:rsidRPr="00216069">
        <w:rPr>
          <w:rFonts w:asciiTheme="minorHAnsi" w:hAnsiTheme="minorHAnsi"/>
          <w:lang w:val="en-GB"/>
        </w:rPr>
        <w:t xml:space="preserve"> </w:t>
      </w:r>
      <w:r w:rsidR="00E7490F" w:rsidRPr="00216069">
        <w:rPr>
          <w:rFonts w:asciiTheme="minorHAnsi" w:hAnsiTheme="minorHAnsi" w:cs="Arial"/>
          <w:color w:val="000000"/>
          <w:shd w:val="clear" w:color="auto" w:fill="FFFFFF"/>
          <w:lang w:val="en-GB"/>
        </w:rPr>
        <w:t>Drugs for acid-related disorders, proton pump inhibitors, ATC code: A02BC01</w:t>
      </w:r>
    </w:p>
    <w:p w14:paraId="04EF1D92" w14:textId="77777777" w:rsidR="00E7490F" w:rsidRPr="00216069" w:rsidRDefault="00E7490F" w:rsidP="00485CD3">
      <w:pPr>
        <w:shd w:val="clear" w:color="auto" w:fill="FFFFFF"/>
        <w:spacing w:after="143" w:line="360" w:lineRule="auto"/>
        <w:ind w:left="720"/>
        <w:rPr>
          <w:rFonts w:asciiTheme="minorHAnsi" w:eastAsia="Times New Roman" w:hAnsiTheme="minorHAnsi" w:cs="Arial"/>
          <w:b/>
          <w:color w:val="000000"/>
          <w:kern w:val="0"/>
          <w:lang w:val="en-GB" w:eastAsia="en-GB"/>
        </w:rPr>
      </w:pPr>
      <w:r w:rsidRPr="00216069">
        <w:rPr>
          <w:rFonts w:asciiTheme="minorHAnsi" w:eastAsia="Times New Roman" w:hAnsiTheme="minorHAnsi" w:cs="Arial"/>
          <w:b/>
          <w:color w:val="000000"/>
          <w:kern w:val="0"/>
          <w:lang w:val="en-GB" w:eastAsia="en-GB"/>
        </w:rPr>
        <w:t>Mechanism of action</w:t>
      </w:r>
    </w:p>
    <w:p w14:paraId="644E211C" w14:textId="77777777" w:rsidR="00E7490F" w:rsidRPr="00216069" w:rsidRDefault="00E7490F" w:rsidP="00485CD3">
      <w:pPr>
        <w:shd w:val="clear" w:color="auto" w:fill="FFFFFF"/>
        <w:spacing w:after="143"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Omeprazole, a racemic mixture of two enantiomers</w:t>
      </w:r>
      <w:r w:rsidRPr="00216069">
        <w:rPr>
          <w:rFonts w:asciiTheme="minorHAnsi" w:eastAsia="Times New Roman" w:hAnsiTheme="minorHAnsi" w:cs="Arial"/>
          <w:b/>
          <w:bCs/>
          <w:color w:val="000000"/>
          <w:kern w:val="0"/>
          <w:lang w:val="en-GB" w:eastAsia="en-GB"/>
        </w:rPr>
        <w:t> </w:t>
      </w:r>
      <w:r w:rsidRPr="00216069">
        <w:rPr>
          <w:rFonts w:asciiTheme="minorHAnsi" w:eastAsia="Times New Roman" w:hAnsiTheme="minorHAnsi" w:cs="Arial"/>
          <w:color w:val="000000"/>
          <w:kern w:val="0"/>
          <w:lang w:val="en-GB" w:eastAsia="en-GB"/>
        </w:rPr>
        <w:t xml:space="preserve">reduces gastric acid secretion through a highly targeted mechanism of action. It is a specific inhibitor of the acid </w:t>
      </w:r>
      <w:r w:rsidRPr="00216069">
        <w:rPr>
          <w:rFonts w:asciiTheme="minorHAnsi" w:eastAsia="Times New Roman" w:hAnsiTheme="minorHAnsi" w:cs="Arial"/>
          <w:color w:val="000000"/>
          <w:kern w:val="0"/>
          <w:lang w:val="en-GB" w:eastAsia="en-GB"/>
        </w:rPr>
        <w:lastRenderedPageBreak/>
        <w:t>pump in the parietal cell. It is rapidly acting and provides control through reversible inhibition of gastric acid secretion with once daily dosing.</w:t>
      </w:r>
    </w:p>
    <w:p w14:paraId="24591C6B" w14:textId="77777777" w:rsidR="00E7490F" w:rsidRPr="00216069" w:rsidRDefault="00E7490F" w:rsidP="00485CD3">
      <w:pPr>
        <w:shd w:val="clear" w:color="auto" w:fill="FFFFFF"/>
        <w:spacing w:after="143"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Omeprazole is a weak base and is concentrated and converted to the active form in the highly acidic environment of the intracellular canaliculi within the parietal cell, where it inhibits the enzyme H</w:t>
      </w:r>
      <w:r w:rsidRPr="00216069">
        <w:rPr>
          <w:rFonts w:asciiTheme="minorHAnsi" w:eastAsia="Times New Roman" w:hAnsiTheme="minorHAnsi" w:cs="Arial"/>
          <w:color w:val="000000"/>
          <w:kern w:val="0"/>
          <w:vertAlign w:val="superscript"/>
          <w:lang w:val="en-GB" w:eastAsia="en-GB"/>
        </w:rPr>
        <w:t>+</w:t>
      </w:r>
      <w:r w:rsidRPr="00216069">
        <w:rPr>
          <w:rFonts w:asciiTheme="minorHAnsi" w:eastAsia="Times New Roman" w:hAnsiTheme="minorHAnsi" w:cs="Arial"/>
          <w:color w:val="000000"/>
          <w:kern w:val="0"/>
          <w:lang w:val="en-GB" w:eastAsia="en-GB"/>
        </w:rPr>
        <w:t> K</w:t>
      </w:r>
      <w:r w:rsidRPr="00216069">
        <w:rPr>
          <w:rFonts w:asciiTheme="minorHAnsi" w:eastAsia="Times New Roman" w:hAnsiTheme="minorHAnsi" w:cs="Arial"/>
          <w:color w:val="000000"/>
          <w:kern w:val="0"/>
          <w:vertAlign w:val="superscript"/>
          <w:lang w:val="en-GB" w:eastAsia="en-GB"/>
        </w:rPr>
        <w:t>+</w:t>
      </w:r>
      <w:r w:rsidRPr="00216069">
        <w:rPr>
          <w:rFonts w:asciiTheme="minorHAnsi" w:eastAsia="Times New Roman" w:hAnsiTheme="minorHAnsi" w:cs="Arial"/>
          <w:color w:val="000000"/>
          <w:kern w:val="0"/>
          <w:lang w:val="en-GB" w:eastAsia="en-GB"/>
        </w:rPr>
        <w:t>-ATPase - the acid pump. This effect on the final step of the gastric acid formation process is dose-dependent and provides for highly effective inhibition of both basal acid secretion and stimulated acid secretion, irrespective of stimulus.</w:t>
      </w:r>
    </w:p>
    <w:p w14:paraId="09A40845" w14:textId="77777777" w:rsidR="00E7490F" w:rsidRPr="00216069" w:rsidRDefault="00E7490F" w:rsidP="00485CD3">
      <w:pPr>
        <w:shd w:val="clear" w:color="auto" w:fill="FFFFFF"/>
        <w:spacing w:after="143" w:line="360" w:lineRule="auto"/>
        <w:ind w:left="720"/>
        <w:rPr>
          <w:rFonts w:asciiTheme="minorHAnsi" w:eastAsia="Times New Roman" w:hAnsiTheme="minorHAnsi" w:cs="Arial"/>
          <w:b/>
          <w:kern w:val="0"/>
          <w:lang w:val="en-GB" w:eastAsia="en-GB"/>
        </w:rPr>
      </w:pPr>
      <w:r w:rsidRPr="00216069">
        <w:rPr>
          <w:rFonts w:asciiTheme="minorHAnsi" w:eastAsia="Times New Roman" w:hAnsiTheme="minorHAnsi" w:cs="Arial"/>
          <w:b/>
          <w:kern w:val="0"/>
          <w:lang w:val="en-GB" w:eastAsia="en-GB"/>
        </w:rPr>
        <w:t>Pharmacodynamic effects</w:t>
      </w:r>
    </w:p>
    <w:p w14:paraId="74DDF8E8" w14:textId="77777777" w:rsidR="00E7490F" w:rsidRPr="00216069" w:rsidRDefault="00E7490F" w:rsidP="00485CD3">
      <w:pPr>
        <w:shd w:val="clear" w:color="auto" w:fill="FFFFFF"/>
        <w:spacing w:after="0" w:line="360" w:lineRule="auto"/>
        <w:ind w:left="720"/>
        <w:rPr>
          <w:rFonts w:asciiTheme="minorHAnsi" w:eastAsia="Times New Roman" w:hAnsiTheme="minorHAnsi" w:cs="Arial"/>
          <w:b/>
          <w:i/>
          <w:color w:val="000000"/>
          <w:kern w:val="0"/>
          <w:u w:val="single"/>
          <w:lang w:val="en-GB" w:eastAsia="en-GB"/>
        </w:rPr>
      </w:pPr>
      <w:r w:rsidRPr="00216069">
        <w:rPr>
          <w:rFonts w:asciiTheme="minorHAnsi" w:eastAsia="Times New Roman" w:hAnsiTheme="minorHAnsi" w:cs="Arial"/>
          <w:b/>
          <w:i/>
          <w:color w:val="000000"/>
          <w:kern w:val="0"/>
          <w:u w:val="single"/>
          <w:lang w:val="en-GB" w:eastAsia="en-GB"/>
        </w:rPr>
        <w:t>Effect on gastric acid secretion</w:t>
      </w:r>
    </w:p>
    <w:p w14:paraId="10E5069B" w14:textId="77777777" w:rsidR="00954A9A" w:rsidRPr="00216069" w:rsidRDefault="00954A9A" w:rsidP="00954A9A">
      <w:pPr>
        <w:pStyle w:val="Default"/>
        <w:spacing w:line="360" w:lineRule="auto"/>
        <w:ind w:left="720"/>
        <w:rPr>
          <w:rFonts w:ascii="Calibri" w:hAnsi="Calibri" w:cs="Calibri"/>
          <w:lang w:val="en-GB"/>
        </w:rPr>
      </w:pPr>
      <w:r w:rsidRPr="00216069">
        <w:rPr>
          <w:rFonts w:ascii="Calibri" w:hAnsi="Calibri" w:cs="Calibri"/>
          <w:lang w:val="en-GB"/>
        </w:rPr>
        <w:t>Intravenous omeprazole produces a dose dependent inhibition of gastric acid secretion in humans. In order to immediately achieve a similar reduction of intragastric acidity as after repeated dosing with 20 mg orally, a first dose of 40 mg intravenously is recommended. This results in an immediate decrease in intragastric acidity and a mean decrease over 24 hours of approximately 90% for both IV injection and IV infusion.</w:t>
      </w:r>
    </w:p>
    <w:p w14:paraId="16AB4270" w14:textId="19FCC382" w:rsidR="00E7490F" w:rsidRPr="00216069" w:rsidRDefault="00E7490F" w:rsidP="00954A9A">
      <w:pPr>
        <w:pStyle w:val="Default"/>
        <w:spacing w:line="360" w:lineRule="auto"/>
        <w:ind w:left="720"/>
        <w:rPr>
          <w:rFonts w:asciiTheme="minorHAnsi" w:eastAsia="Times New Roman" w:hAnsiTheme="minorHAnsi" w:cs="Arial"/>
          <w:lang w:val="en-GB" w:eastAsia="en-GB"/>
        </w:rPr>
      </w:pPr>
      <w:r w:rsidRPr="00216069">
        <w:rPr>
          <w:rFonts w:asciiTheme="minorHAnsi" w:eastAsia="Times New Roman" w:hAnsiTheme="minorHAnsi" w:cs="Arial"/>
          <w:lang w:val="en-GB" w:eastAsia="en-GB"/>
        </w:rPr>
        <w:t>The inhibition of acid secretion is related to the area under the plasma concentration-time curve (AUC) of omeprazole and not to the actual plasma concentration at a given time.</w:t>
      </w:r>
    </w:p>
    <w:p w14:paraId="4320933C" w14:textId="77777777" w:rsidR="00E7490F" w:rsidRPr="00216069" w:rsidRDefault="00E7490F" w:rsidP="00485CD3">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No tachyphylaxis has been observed during treatment with omeprazole.</w:t>
      </w:r>
    </w:p>
    <w:p w14:paraId="53BD48C0" w14:textId="77777777" w:rsidR="002E6432" w:rsidRPr="00216069" w:rsidRDefault="002E6432" w:rsidP="00485CD3">
      <w:pPr>
        <w:shd w:val="clear" w:color="auto" w:fill="FFFFFF"/>
        <w:spacing w:after="0" w:line="360" w:lineRule="auto"/>
        <w:ind w:left="720"/>
        <w:rPr>
          <w:rFonts w:asciiTheme="minorHAnsi" w:eastAsia="Times New Roman" w:hAnsiTheme="minorHAnsi" w:cs="Arial"/>
          <w:color w:val="000000"/>
          <w:kern w:val="0"/>
          <w:lang w:val="en-GB" w:eastAsia="en-GB"/>
        </w:rPr>
      </w:pPr>
    </w:p>
    <w:p w14:paraId="1F9CD36E" w14:textId="77777777" w:rsidR="00E7490F" w:rsidRPr="00216069" w:rsidRDefault="00E7490F" w:rsidP="00485CD3">
      <w:pPr>
        <w:shd w:val="clear" w:color="auto" w:fill="FFFFFF"/>
        <w:spacing w:after="0" w:line="360" w:lineRule="auto"/>
        <w:ind w:left="720"/>
        <w:rPr>
          <w:rFonts w:asciiTheme="minorHAnsi" w:eastAsia="Times New Roman" w:hAnsiTheme="minorHAnsi" w:cs="Arial"/>
          <w:b/>
          <w:i/>
          <w:color w:val="000000"/>
          <w:kern w:val="0"/>
          <w:u w:val="single"/>
          <w:lang w:val="en-GB" w:eastAsia="en-GB"/>
        </w:rPr>
      </w:pPr>
      <w:r w:rsidRPr="00216069">
        <w:rPr>
          <w:rFonts w:asciiTheme="minorHAnsi" w:eastAsia="Times New Roman" w:hAnsiTheme="minorHAnsi" w:cs="Arial"/>
          <w:b/>
          <w:i/>
          <w:color w:val="000000"/>
          <w:kern w:val="0"/>
          <w:u w:val="single"/>
          <w:lang w:val="en-GB" w:eastAsia="en-GB"/>
        </w:rPr>
        <w:t>Effect on H</w:t>
      </w:r>
      <w:r w:rsidR="002E6432" w:rsidRPr="00216069">
        <w:rPr>
          <w:rFonts w:asciiTheme="minorHAnsi" w:eastAsia="Times New Roman" w:hAnsiTheme="minorHAnsi" w:cs="Arial"/>
          <w:b/>
          <w:i/>
          <w:color w:val="000000"/>
          <w:kern w:val="0"/>
          <w:u w:val="single"/>
          <w:lang w:val="en-GB" w:eastAsia="en-GB"/>
        </w:rPr>
        <w:t>elicobacter</w:t>
      </w:r>
      <w:r w:rsidRPr="00216069">
        <w:rPr>
          <w:rFonts w:asciiTheme="minorHAnsi" w:eastAsia="Times New Roman" w:hAnsiTheme="minorHAnsi" w:cs="Arial"/>
          <w:b/>
          <w:i/>
          <w:color w:val="000000"/>
          <w:kern w:val="0"/>
          <w:u w:val="single"/>
          <w:lang w:val="en-GB" w:eastAsia="en-GB"/>
        </w:rPr>
        <w:t xml:space="preserve"> pylori</w:t>
      </w:r>
    </w:p>
    <w:p w14:paraId="5E67E918" w14:textId="1AC7E289" w:rsidR="00E7490F" w:rsidRPr="00216069" w:rsidRDefault="00E7490F" w:rsidP="00485CD3">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i/>
          <w:iCs/>
          <w:color w:val="000000"/>
          <w:kern w:val="0"/>
          <w:lang w:val="en-GB" w:eastAsia="en-GB"/>
        </w:rPr>
        <w:t>H. pylori</w:t>
      </w:r>
      <w:r w:rsidRPr="00216069">
        <w:rPr>
          <w:rFonts w:asciiTheme="minorHAnsi" w:eastAsia="Times New Roman" w:hAnsiTheme="minorHAnsi" w:cs="Arial"/>
          <w:color w:val="000000"/>
          <w:kern w:val="0"/>
          <w:lang w:val="en-GB" w:eastAsia="en-GB"/>
        </w:rPr>
        <w:t> is associated with peptic ulcer disease, including duodenal and gastric ulcer disease. </w:t>
      </w:r>
      <w:r w:rsidRPr="00216069">
        <w:rPr>
          <w:rFonts w:asciiTheme="minorHAnsi" w:eastAsia="Times New Roman" w:hAnsiTheme="minorHAnsi" w:cs="Arial"/>
          <w:i/>
          <w:iCs/>
          <w:color w:val="000000"/>
          <w:kern w:val="0"/>
          <w:lang w:val="en-GB" w:eastAsia="en-GB"/>
        </w:rPr>
        <w:t>H. pylori</w:t>
      </w:r>
      <w:r w:rsidRPr="00216069">
        <w:rPr>
          <w:rFonts w:asciiTheme="minorHAnsi" w:eastAsia="Times New Roman" w:hAnsiTheme="minorHAnsi" w:cs="Arial"/>
          <w:color w:val="000000"/>
          <w:kern w:val="0"/>
          <w:lang w:val="en-GB" w:eastAsia="en-GB"/>
        </w:rPr>
        <w:t> is a major factor in the development of gastritis. </w:t>
      </w:r>
      <w:r w:rsidRPr="00216069">
        <w:rPr>
          <w:rFonts w:asciiTheme="minorHAnsi" w:eastAsia="Times New Roman" w:hAnsiTheme="minorHAnsi" w:cs="Arial"/>
          <w:i/>
          <w:iCs/>
          <w:color w:val="000000"/>
          <w:kern w:val="0"/>
          <w:lang w:val="en-GB" w:eastAsia="en-GB"/>
        </w:rPr>
        <w:t>H. pylori</w:t>
      </w:r>
      <w:r w:rsidRPr="00216069">
        <w:rPr>
          <w:rFonts w:asciiTheme="minorHAnsi" w:eastAsia="Times New Roman" w:hAnsiTheme="minorHAnsi" w:cs="Arial"/>
          <w:color w:val="000000"/>
          <w:kern w:val="0"/>
          <w:lang w:val="en-GB" w:eastAsia="en-GB"/>
        </w:rPr>
        <w:t> together with gastric acid are major factors in the development of peptic ulcer disease. </w:t>
      </w:r>
      <w:r w:rsidRPr="00216069">
        <w:rPr>
          <w:rFonts w:asciiTheme="minorHAnsi" w:eastAsia="Times New Roman" w:hAnsiTheme="minorHAnsi" w:cs="Arial"/>
          <w:i/>
          <w:iCs/>
          <w:color w:val="000000"/>
          <w:kern w:val="0"/>
          <w:lang w:val="en-GB" w:eastAsia="en-GB"/>
        </w:rPr>
        <w:t>H. pylori</w:t>
      </w:r>
      <w:r w:rsidR="00FA772C" w:rsidRPr="00216069">
        <w:rPr>
          <w:rFonts w:asciiTheme="minorHAnsi" w:eastAsia="Times New Roman" w:hAnsiTheme="minorHAnsi" w:cs="Arial"/>
          <w:i/>
          <w:iCs/>
          <w:color w:val="000000"/>
          <w:kern w:val="0"/>
          <w:lang w:val="en-GB" w:eastAsia="en-GB"/>
        </w:rPr>
        <w:t xml:space="preserve"> </w:t>
      </w:r>
      <w:r w:rsidRPr="00216069">
        <w:rPr>
          <w:rFonts w:asciiTheme="minorHAnsi" w:eastAsia="Times New Roman" w:hAnsiTheme="minorHAnsi" w:cs="Arial"/>
          <w:color w:val="000000"/>
          <w:kern w:val="0"/>
          <w:lang w:val="en-GB" w:eastAsia="en-GB"/>
        </w:rPr>
        <w:t>is a major factor in the development of atrophic gastritis which is associated with an increased risk of developing gastric cancer.</w:t>
      </w:r>
    </w:p>
    <w:p w14:paraId="53661828" w14:textId="77777777" w:rsidR="00E7490F" w:rsidRPr="00216069" w:rsidRDefault="00E7490F" w:rsidP="00FA772C">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Eradication of </w:t>
      </w:r>
      <w:r w:rsidRPr="00216069">
        <w:rPr>
          <w:rFonts w:asciiTheme="minorHAnsi" w:eastAsia="Times New Roman" w:hAnsiTheme="minorHAnsi" w:cs="Arial"/>
          <w:i/>
          <w:iCs/>
          <w:color w:val="000000"/>
          <w:kern w:val="0"/>
          <w:lang w:val="en-GB" w:eastAsia="en-GB"/>
        </w:rPr>
        <w:t>H. pylori</w:t>
      </w:r>
      <w:r w:rsidRPr="00216069">
        <w:rPr>
          <w:rFonts w:asciiTheme="minorHAnsi" w:eastAsia="Times New Roman" w:hAnsiTheme="minorHAnsi" w:cs="Arial"/>
          <w:color w:val="000000"/>
          <w:kern w:val="0"/>
          <w:lang w:val="en-GB" w:eastAsia="en-GB"/>
        </w:rPr>
        <w:t> with omeprazole and antimicrobials is associated with, high rates of healing and long-term remission of peptic ulcers.</w:t>
      </w:r>
    </w:p>
    <w:p w14:paraId="0EB99997" w14:textId="77777777" w:rsidR="00E7490F" w:rsidRPr="00216069" w:rsidRDefault="00E7490F" w:rsidP="00FA772C">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lastRenderedPageBreak/>
        <w:t>Dual therapies have been tested and found to be less effective than triple therapies. They could, however, be considered in cases where known hypersensitivity precludes use of any triple combination.</w:t>
      </w:r>
    </w:p>
    <w:p w14:paraId="0145EE48" w14:textId="77777777" w:rsidR="002E6432" w:rsidRPr="00216069" w:rsidRDefault="002E6432" w:rsidP="00FA772C">
      <w:pPr>
        <w:shd w:val="clear" w:color="auto" w:fill="FFFFFF"/>
        <w:spacing w:after="0" w:line="360" w:lineRule="auto"/>
        <w:ind w:left="720"/>
        <w:rPr>
          <w:rFonts w:asciiTheme="minorHAnsi" w:eastAsia="Times New Roman" w:hAnsiTheme="minorHAnsi" w:cs="Arial"/>
          <w:color w:val="000000"/>
          <w:kern w:val="0"/>
          <w:lang w:val="en-GB" w:eastAsia="en-GB"/>
        </w:rPr>
      </w:pPr>
    </w:p>
    <w:p w14:paraId="72D2EB03" w14:textId="77777777" w:rsidR="00E7490F" w:rsidRPr="00216069" w:rsidRDefault="00E7490F" w:rsidP="00FA772C">
      <w:pPr>
        <w:shd w:val="clear" w:color="auto" w:fill="FFFFFF"/>
        <w:spacing w:after="0" w:line="360" w:lineRule="auto"/>
        <w:ind w:left="720"/>
        <w:rPr>
          <w:rFonts w:asciiTheme="minorHAnsi" w:eastAsia="Times New Roman" w:hAnsiTheme="minorHAnsi" w:cs="Arial"/>
          <w:b/>
          <w:i/>
          <w:color w:val="000000"/>
          <w:kern w:val="0"/>
          <w:u w:val="single"/>
          <w:lang w:val="en-GB" w:eastAsia="en-GB"/>
        </w:rPr>
      </w:pPr>
      <w:r w:rsidRPr="00216069">
        <w:rPr>
          <w:rFonts w:asciiTheme="minorHAnsi" w:eastAsia="Times New Roman" w:hAnsiTheme="minorHAnsi" w:cs="Arial"/>
          <w:b/>
          <w:i/>
          <w:color w:val="000000"/>
          <w:kern w:val="0"/>
          <w:u w:val="single"/>
          <w:lang w:val="en-GB" w:eastAsia="en-GB"/>
        </w:rPr>
        <w:t>Other effects related to acid inhibition</w:t>
      </w:r>
    </w:p>
    <w:p w14:paraId="208ECE66" w14:textId="77777777" w:rsidR="00E7490F" w:rsidRPr="00216069" w:rsidRDefault="00E7490F" w:rsidP="00FA772C">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During long-term treatment gastric glandular cysts have been reported in a somewhat increased frequency. These changes are a physiological consequence of pronounced inhibition of acid secretion, are benign and appear to be reversible.</w:t>
      </w:r>
    </w:p>
    <w:p w14:paraId="2190EB42" w14:textId="77777777" w:rsidR="00E7490F" w:rsidRPr="00216069" w:rsidRDefault="00E7490F" w:rsidP="00FA772C">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Decreased gastric acidity due to any means including proton pump inhibitors, increases gastric counts of bacteria normally present in the gastrointestinal tract. Treatment with acid-reducing drugs may lead to slightly increased risk of gast</w:t>
      </w:r>
      <w:r w:rsidR="002E6432" w:rsidRPr="00216069">
        <w:rPr>
          <w:rFonts w:asciiTheme="minorHAnsi" w:eastAsia="Times New Roman" w:hAnsiTheme="minorHAnsi" w:cs="Arial"/>
          <w:color w:val="000000"/>
          <w:kern w:val="0"/>
          <w:lang w:val="en-GB" w:eastAsia="en-GB"/>
        </w:rPr>
        <w:t xml:space="preserve">rointestinal infections such as </w:t>
      </w:r>
      <w:r w:rsidRPr="00216069">
        <w:rPr>
          <w:rFonts w:asciiTheme="minorHAnsi" w:eastAsia="Times New Roman" w:hAnsiTheme="minorHAnsi" w:cs="Arial"/>
          <w:i/>
          <w:iCs/>
          <w:color w:val="000000"/>
          <w:kern w:val="0"/>
          <w:lang w:val="en-GB" w:eastAsia="en-GB"/>
        </w:rPr>
        <w:t>Salmonella</w:t>
      </w:r>
      <w:r w:rsidR="002E6432" w:rsidRPr="00216069">
        <w:rPr>
          <w:rFonts w:asciiTheme="minorHAnsi" w:eastAsia="Times New Roman" w:hAnsiTheme="minorHAnsi" w:cs="Arial"/>
          <w:i/>
          <w:iCs/>
          <w:color w:val="000000"/>
          <w:kern w:val="0"/>
          <w:lang w:val="en-GB" w:eastAsia="en-GB"/>
        </w:rPr>
        <w:t xml:space="preserve"> </w:t>
      </w:r>
      <w:r w:rsidR="002E6432" w:rsidRPr="00216069">
        <w:rPr>
          <w:rFonts w:asciiTheme="minorHAnsi" w:eastAsia="Times New Roman" w:hAnsiTheme="minorHAnsi" w:cs="Arial"/>
          <w:color w:val="000000"/>
          <w:kern w:val="0"/>
          <w:lang w:val="en-GB" w:eastAsia="en-GB"/>
        </w:rPr>
        <w:t xml:space="preserve">and </w:t>
      </w:r>
      <w:r w:rsidR="002E6432" w:rsidRPr="00216069">
        <w:rPr>
          <w:rFonts w:asciiTheme="minorHAnsi" w:eastAsia="Times New Roman" w:hAnsiTheme="minorHAnsi" w:cs="Arial"/>
          <w:i/>
          <w:iCs/>
          <w:color w:val="000000"/>
          <w:kern w:val="0"/>
          <w:lang w:val="en-GB" w:eastAsia="en-GB"/>
        </w:rPr>
        <w:t xml:space="preserve">Campylobacter </w:t>
      </w:r>
      <w:r w:rsidRPr="00216069">
        <w:rPr>
          <w:rFonts w:asciiTheme="minorHAnsi" w:eastAsia="Times New Roman" w:hAnsiTheme="minorHAnsi" w:cs="Arial"/>
          <w:color w:val="000000"/>
          <w:kern w:val="0"/>
          <w:lang w:val="en-GB" w:eastAsia="en-GB"/>
        </w:rPr>
        <w:t>and, in hospi</w:t>
      </w:r>
      <w:r w:rsidR="002E6432" w:rsidRPr="00216069">
        <w:rPr>
          <w:rFonts w:asciiTheme="minorHAnsi" w:eastAsia="Times New Roman" w:hAnsiTheme="minorHAnsi" w:cs="Arial"/>
          <w:color w:val="000000"/>
          <w:kern w:val="0"/>
          <w:lang w:val="en-GB" w:eastAsia="en-GB"/>
        </w:rPr>
        <w:t xml:space="preserve">talised patients, possibly also </w:t>
      </w:r>
      <w:r w:rsidRPr="00216069">
        <w:rPr>
          <w:rFonts w:asciiTheme="minorHAnsi" w:eastAsia="Times New Roman" w:hAnsiTheme="minorHAnsi" w:cs="Arial"/>
          <w:i/>
          <w:iCs/>
          <w:color w:val="000000"/>
          <w:kern w:val="0"/>
          <w:lang w:val="en-GB" w:eastAsia="en-GB"/>
        </w:rPr>
        <w:t>Clostridium difficile.</w:t>
      </w:r>
    </w:p>
    <w:p w14:paraId="4F9E1266" w14:textId="77777777" w:rsidR="00E7490F" w:rsidRPr="00216069" w:rsidRDefault="00E7490F" w:rsidP="00FA772C">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 xml:space="preserve">During treatment with antisecretory medicinal products, serum gastrin increases in response to the decreased acid secretion. Also </w:t>
      </w:r>
      <w:proofErr w:type="spellStart"/>
      <w:r w:rsidRPr="00216069">
        <w:rPr>
          <w:rFonts w:asciiTheme="minorHAnsi" w:eastAsia="Times New Roman" w:hAnsiTheme="minorHAnsi" w:cs="Arial"/>
          <w:color w:val="000000"/>
          <w:kern w:val="0"/>
          <w:lang w:val="en-GB" w:eastAsia="en-GB"/>
        </w:rPr>
        <w:t>CgA</w:t>
      </w:r>
      <w:proofErr w:type="spellEnd"/>
      <w:r w:rsidRPr="00216069">
        <w:rPr>
          <w:rFonts w:asciiTheme="minorHAnsi" w:eastAsia="Times New Roman" w:hAnsiTheme="minorHAnsi" w:cs="Arial"/>
          <w:color w:val="000000"/>
          <w:kern w:val="0"/>
          <w:lang w:val="en-GB" w:eastAsia="en-GB"/>
        </w:rPr>
        <w:t xml:space="preserve"> increases due to decreased gastric acidity. The increased </w:t>
      </w:r>
      <w:proofErr w:type="spellStart"/>
      <w:r w:rsidRPr="00216069">
        <w:rPr>
          <w:rFonts w:asciiTheme="minorHAnsi" w:eastAsia="Times New Roman" w:hAnsiTheme="minorHAnsi" w:cs="Arial"/>
          <w:color w:val="000000"/>
          <w:kern w:val="0"/>
          <w:lang w:val="en-GB" w:eastAsia="en-GB"/>
        </w:rPr>
        <w:t>CgA</w:t>
      </w:r>
      <w:proofErr w:type="spellEnd"/>
      <w:r w:rsidRPr="00216069">
        <w:rPr>
          <w:rFonts w:asciiTheme="minorHAnsi" w:eastAsia="Times New Roman" w:hAnsiTheme="minorHAnsi" w:cs="Arial"/>
          <w:color w:val="000000"/>
          <w:kern w:val="0"/>
          <w:lang w:val="en-GB" w:eastAsia="en-GB"/>
        </w:rPr>
        <w:t xml:space="preserve"> level may interfere with investigations for neuroendocrine tumours. Available published evidence suggests that proton pump inhibitors should be discontinued between 5 days and 2 weeks prior to </w:t>
      </w:r>
      <w:proofErr w:type="spellStart"/>
      <w:r w:rsidRPr="00216069">
        <w:rPr>
          <w:rFonts w:asciiTheme="minorHAnsi" w:eastAsia="Times New Roman" w:hAnsiTheme="minorHAnsi" w:cs="Arial"/>
          <w:color w:val="000000"/>
          <w:kern w:val="0"/>
          <w:lang w:val="en-GB" w:eastAsia="en-GB"/>
        </w:rPr>
        <w:t>CgA</w:t>
      </w:r>
      <w:proofErr w:type="spellEnd"/>
      <w:r w:rsidRPr="00216069">
        <w:rPr>
          <w:rFonts w:asciiTheme="minorHAnsi" w:eastAsia="Times New Roman" w:hAnsiTheme="minorHAnsi" w:cs="Arial"/>
          <w:color w:val="000000"/>
          <w:kern w:val="0"/>
          <w:lang w:val="en-GB" w:eastAsia="en-GB"/>
        </w:rPr>
        <w:t xml:space="preserve"> measurements. This is to allow </w:t>
      </w:r>
      <w:proofErr w:type="spellStart"/>
      <w:r w:rsidRPr="00216069">
        <w:rPr>
          <w:rFonts w:asciiTheme="minorHAnsi" w:eastAsia="Times New Roman" w:hAnsiTheme="minorHAnsi" w:cs="Arial"/>
          <w:color w:val="000000"/>
          <w:kern w:val="0"/>
          <w:lang w:val="en-GB" w:eastAsia="en-GB"/>
        </w:rPr>
        <w:t>CgA</w:t>
      </w:r>
      <w:proofErr w:type="spellEnd"/>
      <w:r w:rsidRPr="00216069">
        <w:rPr>
          <w:rFonts w:asciiTheme="minorHAnsi" w:eastAsia="Times New Roman" w:hAnsiTheme="minorHAnsi" w:cs="Arial"/>
          <w:color w:val="000000"/>
          <w:kern w:val="0"/>
          <w:lang w:val="en-GB" w:eastAsia="en-GB"/>
        </w:rPr>
        <w:t xml:space="preserve"> levels that might be spuriously elevated following PPI treatment to return to reference range.</w:t>
      </w:r>
    </w:p>
    <w:p w14:paraId="7E34C192" w14:textId="77777777" w:rsidR="00E7490F" w:rsidRPr="00216069" w:rsidRDefault="00E7490F" w:rsidP="00FA772C">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An increased number of ECL cells possibly related to the increased serum gastrin levels, have been observed in some patients (both children and adults) during long term treatment with omeprazole. The findings are considered to be of no clinical significance.</w:t>
      </w:r>
    </w:p>
    <w:p w14:paraId="48F2FB2B" w14:textId="77777777" w:rsidR="002E6432" w:rsidRPr="00216069" w:rsidRDefault="002E6432" w:rsidP="006E5361">
      <w:pPr>
        <w:shd w:val="clear" w:color="auto" w:fill="FFFFFF"/>
        <w:spacing w:after="0" w:line="360" w:lineRule="auto"/>
        <w:rPr>
          <w:rFonts w:asciiTheme="minorHAnsi" w:eastAsia="Times New Roman" w:hAnsiTheme="minorHAnsi" w:cs="Arial"/>
          <w:color w:val="000000"/>
          <w:kern w:val="0"/>
          <w:lang w:val="en-GB" w:eastAsia="en-GB"/>
        </w:rPr>
      </w:pPr>
    </w:p>
    <w:p w14:paraId="2C9A87A6" w14:textId="1A742709" w:rsidR="00E7490F" w:rsidRPr="00216069" w:rsidRDefault="00E7490F" w:rsidP="006E5361">
      <w:pPr>
        <w:shd w:val="clear" w:color="auto" w:fill="FFFFFF"/>
        <w:spacing w:after="0" w:line="360" w:lineRule="auto"/>
        <w:rPr>
          <w:rFonts w:asciiTheme="minorHAnsi" w:eastAsia="Times New Roman" w:hAnsiTheme="minorHAnsi" w:cs="Arial"/>
          <w:b/>
          <w:bCs/>
          <w:color w:val="000000"/>
          <w:kern w:val="0"/>
          <w:lang w:val="en-GB" w:eastAsia="en-GB"/>
        </w:rPr>
      </w:pPr>
      <w:r w:rsidRPr="00216069">
        <w:rPr>
          <w:rFonts w:asciiTheme="minorHAnsi" w:eastAsia="Times New Roman" w:hAnsiTheme="minorHAnsi" w:cs="Arial"/>
          <w:b/>
          <w:bCs/>
          <w:color w:val="000000"/>
          <w:kern w:val="0"/>
          <w:lang w:val="en-GB" w:eastAsia="en-GB"/>
        </w:rPr>
        <w:t>5.2 Pharmacokinetic properties</w:t>
      </w:r>
    </w:p>
    <w:p w14:paraId="750A3E90" w14:textId="77777777" w:rsidR="00C80002" w:rsidRPr="00216069" w:rsidRDefault="00C80002" w:rsidP="006E5361">
      <w:pPr>
        <w:shd w:val="clear" w:color="auto" w:fill="FFFFFF"/>
        <w:spacing w:after="0" w:line="360" w:lineRule="auto"/>
        <w:rPr>
          <w:rFonts w:asciiTheme="minorHAnsi" w:eastAsia="Times New Roman" w:hAnsiTheme="minorHAnsi" w:cs="Arial"/>
          <w:b/>
          <w:bCs/>
          <w:color w:val="000000"/>
          <w:kern w:val="0"/>
          <w:lang w:val="en-GB" w:eastAsia="en-GB"/>
        </w:rPr>
      </w:pPr>
    </w:p>
    <w:p w14:paraId="63FA9E47" w14:textId="77777777" w:rsidR="00E7490F" w:rsidRPr="00216069" w:rsidRDefault="00E7490F" w:rsidP="00C80002">
      <w:pPr>
        <w:shd w:val="clear" w:color="auto" w:fill="FFFFFF"/>
        <w:spacing w:after="0" w:line="360" w:lineRule="auto"/>
        <w:ind w:left="720"/>
        <w:rPr>
          <w:rFonts w:asciiTheme="minorHAnsi" w:eastAsia="Times New Roman" w:hAnsiTheme="minorHAnsi" w:cs="Arial"/>
          <w:b/>
          <w:color w:val="000000"/>
          <w:kern w:val="0"/>
          <w:lang w:val="en-GB" w:eastAsia="en-GB"/>
        </w:rPr>
      </w:pPr>
      <w:r w:rsidRPr="00216069">
        <w:rPr>
          <w:rFonts w:asciiTheme="minorHAnsi" w:eastAsia="Times New Roman" w:hAnsiTheme="minorHAnsi" w:cs="Arial"/>
          <w:b/>
          <w:color w:val="000000"/>
          <w:kern w:val="0"/>
          <w:lang w:val="en-GB" w:eastAsia="en-GB"/>
        </w:rPr>
        <w:t>Distribution</w:t>
      </w:r>
    </w:p>
    <w:p w14:paraId="2096F398" w14:textId="250F004B" w:rsidR="00E7490F" w:rsidRPr="00216069" w:rsidRDefault="00E7490F" w:rsidP="00C80002">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The apparent volume of distribution in healthy subjects is approximately 0.3 l/kg body weight. Omeprazole is 97% plasma protein bound.</w:t>
      </w:r>
    </w:p>
    <w:p w14:paraId="4B8AF8F7" w14:textId="77777777" w:rsidR="00C80002" w:rsidRPr="00216069" w:rsidRDefault="00C80002" w:rsidP="00C80002">
      <w:pPr>
        <w:shd w:val="clear" w:color="auto" w:fill="FFFFFF"/>
        <w:spacing w:after="0" w:line="360" w:lineRule="auto"/>
        <w:ind w:left="720"/>
        <w:rPr>
          <w:rFonts w:asciiTheme="minorHAnsi" w:eastAsia="Times New Roman" w:hAnsiTheme="minorHAnsi" w:cs="Arial"/>
          <w:color w:val="000000"/>
          <w:kern w:val="0"/>
          <w:lang w:val="en-GB" w:eastAsia="en-GB"/>
        </w:rPr>
      </w:pPr>
    </w:p>
    <w:p w14:paraId="12CFFBC9" w14:textId="77777777" w:rsidR="00E7490F" w:rsidRPr="00216069" w:rsidRDefault="00E7490F" w:rsidP="00C80002">
      <w:pPr>
        <w:shd w:val="clear" w:color="auto" w:fill="FFFFFF"/>
        <w:spacing w:after="0" w:line="360" w:lineRule="auto"/>
        <w:ind w:firstLine="720"/>
        <w:rPr>
          <w:rFonts w:asciiTheme="minorHAnsi" w:eastAsia="Times New Roman" w:hAnsiTheme="minorHAnsi" w:cs="Arial"/>
          <w:b/>
          <w:color w:val="000000"/>
          <w:kern w:val="0"/>
          <w:lang w:val="en-GB" w:eastAsia="en-GB"/>
        </w:rPr>
      </w:pPr>
      <w:r w:rsidRPr="00216069">
        <w:rPr>
          <w:rFonts w:asciiTheme="minorHAnsi" w:eastAsia="Times New Roman" w:hAnsiTheme="minorHAnsi" w:cs="Arial"/>
          <w:b/>
          <w:color w:val="000000"/>
          <w:kern w:val="0"/>
          <w:lang w:val="en-GB" w:eastAsia="en-GB"/>
        </w:rPr>
        <w:lastRenderedPageBreak/>
        <w:t>Biotransformation</w:t>
      </w:r>
    </w:p>
    <w:p w14:paraId="4FFAF8F4" w14:textId="77777777" w:rsidR="00E7490F" w:rsidRPr="00216069" w:rsidRDefault="00E7490F" w:rsidP="00C80002">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 xml:space="preserve">Omeprazole is completely metabolised by the cytochrome P450 system (CYP). The major part of its metabolism is dependent on the polymorphically expressed CYP2C19, responsible for the formation of </w:t>
      </w:r>
      <w:proofErr w:type="spellStart"/>
      <w:r w:rsidRPr="00216069">
        <w:rPr>
          <w:rFonts w:asciiTheme="minorHAnsi" w:eastAsia="Times New Roman" w:hAnsiTheme="minorHAnsi" w:cs="Arial"/>
          <w:color w:val="000000"/>
          <w:kern w:val="0"/>
          <w:lang w:val="en-GB" w:eastAsia="en-GB"/>
        </w:rPr>
        <w:t>hydroxyomeprazole</w:t>
      </w:r>
      <w:proofErr w:type="spellEnd"/>
      <w:r w:rsidRPr="00216069">
        <w:rPr>
          <w:rFonts w:asciiTheme="minorHAnsi" w:eastAsia="Times New Roman" w:hAnsiTheme="minorHAnsi" w:cs="Arial"/>
          <w:color w:val="000000"/>
          <w:kern w:val="0"/>
          <w:lang w:val="en-GB" w:eastAsia="en-GB"/>
        </w:rPr>
        <w:t>, the major metabolite in plasma. The remaining part is dependent on another specific isoform, CYP3A4, responsible for the formation of omeprazole sulfone. As a consequence of high affinity of omeprazole to CYP2C19, there is a potential for competitive inhibition and metabolic drug-drug interactions with other substrates for CYP2C19. However, due to low affinity to CYP3A4, omeprazole has no potential to inhibit the metabolism of other CYP3A4 substrates. In addition, omeprazole lacks an inhibitory effect on the main CYP enzymes.</w:t>
      </w:r>
    </w:p>
    <w:p w14:paraId="6A2D858D" w14:textId="77777777" w:rsidR="00E7490F" w:rsidRPr="00216069" w:rsidRDefault="00E7490F" w:rsidP="00C80002">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Approximately 3% of the Caucasian population and 15-20% of Asian populations lack a functional CYP2C19 enzyme and are called poor metabolisers. In such individuals the metabolism of omeprazole is probably mainly catalysed by CYP3A4. After repeated once-daily administration of 20 mg omeprazole, the mean AUC was 5 to 10 times higher in poor metabolisers than in subjects having a functional CYP2C19 enzyme (extensive metabolisers). Mean peak plasma concentrations were also higher, by 3 to 5 times. These findings have no implications for the posology of omeprazole.</w:t>
      </w:r>
    </w:p>
    <w:p w14:paraId="6F69550D" w14:textId="77777777" w:rsidR="002E6432" w:rsidRPr="00216069" w:rsidRDefault="002E6432" w:rsidP="00C80002">
      <w:pPr>
        <w:shd w:val="clear" w:color="auto" w:fill="FFFFFF"/>
        <w:spacing w:after="0" w:line="360" w:lineRule="auto"/>
        <w:ind w:left="720"/>
        <w:rPr>
          <w:rFonts w:asciiTheme="minorHAnsi" w:eastAsia="Times New Roman" w:hAnsiTheme="minorHAnsi" w:cs="Arial"/>
          <w:color w:val="000000"/>
          <w:kern w:val="0"/>
          <w:lang w:val="en-GB" w:eastAsia="en-GB"/>
        </w:rPr>
      </w:pPr>
    </w:p>
    <w:p w14:paraId="36F0C3F7" w14:textId="77777777" w:rsidR="00E7490F" w:rsidRPr="00216069" w:rsidRDefault="00E7490F" w:rsidP="00C80002">
      <w:pPr>
        <w:shd w:val="clear" w:color="auto" w:fill="FFFFFF"/>
        <w:spacing w:after="0" w:line="360" w:lineRule="auto"/>
        <w:ind w:left="720"/>
        <w:rPr>
          <w:rFonts w:asciiTheme="minorHAnsi" w:eastAsia="Times New Roman" w:hAnsiTheme="minorHAnsi" w:cs="Arial"/>
          <w:b/>
          <w:color w:val="000000"/>
          <w:kern w:val="0"/>
          <w:lang w:val="en-GB" w:eastAsia="en-GB"/>
        </w:rPr>
      </w:pPr>
      <w:r w:rsidRPr="00216069">
        <w:rPr>
          <w:rFonts w:asciiTheme="minorHAnsi" w:eastAsia="Times New Roman" w:hAnsiTheme="minorHAnsi" w:cs="Arial"/>
          <w:b/>
          <w:color w:val="000000"/>
          <w:kern w:val="0"/>
          <w:lang w:val="en-GB" w:eastAsia="en-GB"/>
        </w:rPr>
        <w:t>Elimination</w:t>
      </w:r>
    </w:p>
    <w:p w14:paraId="4D9AB877" w14:textId="77777777" w:rsidR="00E7490F" w:rsidRPr="00216069" w:rsidRDefault="00E7490F" w:rsidP="00C80002">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The plasma elimination half-life of omeprazole is usually shorter than one hour both after single and repeated oral once-daily dosing. Omeprazole is completely eliminated from plasma between doses with no tendency for accumulation during once-daily administration. Almost 80% of an oral dose of omeprazole is excreted as metabolites in the urine, the remainder in the faeces, primarily originating from bile secretion.</w:t>
      </w:r>
    </w:p>
    <w:p w14:paraId="43A38FFC" w14:textId="77777777" w:rsidR="002E6432" w:rsidRPr="00216069" w:rsidRDefault="002E6432" w:rsidP="00C80002">
      <w:pPr>
        <w:shd w:val="clear" w:color="auto" w:fill="FFFFFF"/>
        <w:spacing w:after="0" w:line="360" w:lineRule="auto"/>
        <w:ind w:left="720"/>
        <w:rPr>
          <w:rFonts w:asciiTheme="minorHAnsi" w:eastAsia="Times New Roman" w:hAnsiTheme="minorHAnsi" w:cs="Arial"/>
          <w:color w:val="000000"/>
          <w:kern w:val="0"/>
          <w:lang w:val="en-GB" w:eastAsia="en-GB"/>
        </w:rPr>
      </w:pPr>
    </w:p>
    <w:p w14:paraId="74D79FD1" w14:textId="77777777" w:rsidR="00E7490F" w:rsidRPr="00216069" w:rsidRDefault="00E7490F" w:rsidP="003C79ED">
      <w:pPr>
        <w:shd w:val="clear" w:color="auto" w:fill="FFFFFF"/>
        <w:spacing w:after="0" w:line="360" w:lineRule="auto"/>
        <w:ind w:left="720"/>
        <w:rPr>
          <w:rFonts w:asciiTheme="minorHAnsi" w:eastAsia="Times New Roman" w:hAnsiTheme="minorHAnsi" w:cs="Arial"/>
          <w:b/>
          <w:color w:val="000000"/>
          <w:kern w:val="0"/>
          <w:lang w:val="en-GB" w:eastAsia="en-GB"/>
        </w:rPr>
      </w:pPr>
      <w:r w:rsidRPr="00216069">
        <w:rPr>
          <w:rFonts w:asciiTheme="minorHAnsi" w:eastAsia="Times New Roman" w:hAnsiTheme="minorHAnsi" w:cs="Arial"/>
          <w:b/>
          <w:color w:val="000000"/>
          <w:kern w:val="0"/>
          <w:lang w:val="en-GB" w:eastAsia="en-GB"/>
        </w:rPr>
        <w:t>Linearity/non-linearity</w:t>
      </w:r>
    </w:p>
    <w:p w14:paraId="0F1B1D00" w14:textId="77777777" w:rsidR="00E7490F" w:rsidRPr="00216069" w:rsidRDefault="00E7490F" w:rsidP="003C79ED">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 xml:space="preserve">The AUC of omeprazole increases with repeated administration. This increase is dose-dependent and results in a non-linear dose-AUC relationship after repeated </w:t>
      </w:r>
      <w:r w:rsidRPr="00216069">
        <w:rPr>
          <w:rFonts w:asciiTheme="minorHAnsi" w:eastAsia="Times New Roman" w:hAnsiTheme="minorHAnsi" w:cs="Arial"/>
          <w:color w:val="000000"/>
          <w:kern w:val="0"/>
          <w:lang w:val="en-GB" w:eastAsia="en-GB"/>
        </w:rPr>
        <w:lastRenderedPageBreak/>
        <w:t>administration. This time- and dose-dependency is due to a decrease of first pass metabolism and systemic clearance probably caused by an inhibition of the CYP2C19 enzyme by omeprazole and/or its metabolites (e.g. the sulfone).</w:t>
      </w:r>
      <w:r w:rsidR="002E6432" w:rsidRPr="00216069">
        <w:rPr>
          <w:rFonts w:asciiTheme="minorHAnsi" w:eastAsia="Times New Roman" w:hAnsiTheme="minorHAnsi" w:cs="Arial"/>
          <w:color w:val="000000"/>
          <w:kern w:val="0"/>
          <w:lang w:val="en-GB" w:eastAsia="en-GB"/>
        </w:rPr>
        <w:t xml:space="preserve"> </w:t>
      </w:r>
      <w:r w:rsidRPr="00216069">
        <w:rPr>
          <w:rFonts w:asciiTheme="minorHAnsi" w:eastAsia="Times New Roman" w:hAnsiTheme="minorHAnsi" w:cs="Arial"/>
          <w:color w:val="000000"/>
          <w:kern w:val="0"/>
          <w:lang w:val="en-GB" w:eastAsia="en-GB"/>
        </w:rPr>
        <w:t>No metabolite has been found to have any effect on gastric acid secretion.</w:t>
      </w:r>
    </w:p>
    <w:p w14:paraId="1E343715" w14:textId="77777777" w:rsidR="002E6432" w:rsidRPr="00216069" w:rsidRDefault="002E6432" w:rsidP="006E5361">
      <w:pPr>
        <w:shd w:val="clear" w:color="auto" w:fill="FFFFFF"/>
        <w:spacing w:after="0" w:line="360" w:lineRule="auto"/>
        <w:rPr>
          <w:rFonts w:asciiTheme="minorHAnsi" w:eastAsia="Times New Roman" w:hAnsiTheme="minorHAnsi" w:cs="Arial"/>
          <w:color w:val="000000"/>
          <w:kern w:val="0"/>
          <w:lang w:val="en-GB" w:eastAsia="en-GB"/>
        </w:rPr>
      </w:pPr>
    </w:p>
    <w:p w14:paraId="5431EF4D" w14:textId="77777777" w:rsidR="00E7490F" w:rsidRPr="00216069" w:rsidRDefault="00E7490F" w:rsidP="003C79ED">
      <w:pPr>
        <w:shd w:val="clear" w:color="auto" w:fill="FFFFFF"/>
        <w:spacing w:after="0" w:line="360" w:lineRule="auto"/>
        <w:ind w:left="720"/>
        <w:rPr>
          <w:rFonts w:asciiTheme="minorHAnsi" w:eastAsia="Times New Roman" w:hAnsiTheme="minorHAnsi" w:cs="Arial"/>
          <w:b/>
          <w:color w:val="000000"/>
          <w:kern w:val="0"/>
          <w:u w:val="single"/>
          <w:lang w:val="en-GB" w:eastAsia="en-GB"/>
        </w:rPr>
      </w:pPr>
      <w:r w:rsidRPr="00216069">
        <w:rPr>
          <w:rFonts w:asciiTheme="minorHAnsi" w:eastAsia="Times New Roman" w:hAnsiTheme="minorHAnsi" w:cs="Arial"/>
          <w:b/>
          <w:color w:val="000000"/>
          <w:kern w:val="0"/>
          <w:u w:val="single"/>
          <w:lang w:val="en-GB" w:eastAsia="en-GB"/>
        </w:rPr>
        <w:t>Special populations</w:t>
      </w:r>
    </w:p>
    <w:p w14:paraId="5F892B62" w14:textId="77777777" w:rsidR="00E7490F" w:rsidRPr="00216069" w:rsidRDefault="00E7490F" w:rsidP="003C79ED">
      <w:pPr>
        <w:shd w:val="clear" w:color="auto" w:fill="FFFFFF"/>
        <w:spacing w:after="0" w:line="360" w:lineRule="auto"/>
        <w:ind w:left="720"/>
        <w:rPr>
          <w:rFonts w:asciiTheme="minorHAnsi" w:eastAsia="Times New Roman" w:hAnsiTheme="minorHAnsi" w:cs="Arial"/>
          <w:b/>
          <w:color w:val="000000"/>
          <w:kern w:val="0"/>
          <w:lang w:val="en-GB" w:eastAsia="en-GB"/>
        </w:rPr>
      </w:pPr>
      <w:r w:rsidRPr="00216069">
        <w:rPr>
          <w:rFonts w:asciiTheme="minorHAnsi" w:eastAsia="Times New Roman" w:hAnsiTheme="minorHAnsi" w:cs="Arial"/>
          <w:b/>
          <w:iCs/>
          <w:color w:val="000000"/>
          <w:kern w:val="0"/>
          <w:lang w:val="en-GB" w:eastAsia="en-GB"/>
        </w:rPr>
        <w:t>Hepatic impairment</w:t>
      </w:r>
    </w:p>
    <w:p w14:paraId="2C5231BC" w14:textId="77777777" w:rsidR="00E7490F" w:rsidRPr="00216069" w:rsidRDefault="00E7490F" w:rsidP="003C79ED">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The metabolism of omeprazole in patients with liver dysfunction is impaired, resulting in an increased AUC. Omeprazole has not shown any tendency to accumulate with once daily dosing.</w:t>
      </w:r>
    </w:p>
    <w:p w14:paraId="159C050B" w14:textId="77777777" w:rsidR="00E7490F" w:rsidRPr="00216069" w:rsidRDefault="00E7490F" w:rsidP="003C79ED">
      <w:pPr>
        <w:shd w:val="clear" w:color="auto" w:fill="FFFFFF"/>
        <w:spacing w:after="0" w:line="360" w:lineRule="auto"/>
        <w:ind w:left="720"/>
        <w:rPr>
          <w:rFonts w:asciiTheme="minorHAnsi" w:eastAsia="Times New Roman" w:hAnsiTheme="minorHAnsi" w:cs="Arial"/>
          <w:b/>
          <w:color w:val="000000"/>
          <w:kern w:val="0"/>
          <w:lang w:val="en-GB" w:eastAsia="en-GB"/>
        </w:rPr>
      </w:pPr>
      <w:r w:rsidRPr="00216069">
        <w:rPr>
          <w:rFonts w:asciiTheme="minorHAnsi" w:eastAsia="Times New Roman" w:hAnsiTheme="minorHAnsi" w:cs="Arial"/>
          <w:b/>
          <w:iCs/>
          <w:color w:val="000000"/>
          <w:kern w:val="0"/>
          <w:lang w:val="en-GB" w:eastAsia="en-GB"/>
        </w:rPr>
        <w:t>Renal impairment</w:t>
      </w:r>
    </w:p>
    <w:p w14:paraId="1D7A26F4" w14:textId="77777777" w:rsidR="00E7490F" w:rsidRPr="00216069" w:rsidRDefault="00E7490F" w:rsidP="003C79ED">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The pharmacokinetics of omeprazole, including systemic bioavailability and elimination rate, are unchanged in patients with reduced renal function.</w:t>
      </w:r>
    </w:p>
    <w:p w14:paraId="7A74CA03" w14:textId="77777777" w:rsidR="00E7490F" w:rsidRPr="00216069" w:rsidRDefault="00E7490F" w:rsidP="003C79ED">
      <w:pPr>
        <w:shd w:val="clear" w:color="auto" w:fill="FFFFFF"/>
        <w:spacing w:after="0" w:line="360" w:lineRule="auto"/>
        <w:ind w:left="720"/>
        <w:rPr>
          <w:rFonts w:asciiTheme="minorHAnsi" w:eastAsia="Times New Roman" w:hAnsiTheme="minorHAnsi" w:cs="Arial"/>
          <w:b/>
          <w:color w:val="000000"/>
          <w:kern w:val="0"/>
          <w:lang w:val="en-GB" w:eastAsia="en-GB"/>
        </w:rPr>
      </w:pPr>
      <w:r w:rsidRPr="00216069">
        <w:rPr>
          <w:rFonts w:asciiTheme="minorHAnsi" w:eastAsia="Times New Roman" w:hAnsiTheme="minorHAnsi" w:cs="Arial"/>
          <w:b/>
          <w:iCs/>
          <w:color w:val="000000"/>
          <w:kern w:val="0"/>
          <w:lang w:val="en-GB" w:eastAsia="en-GB"/>
        </w:rPr>
        <w:t>Elderly</w:t>
      </w:r>
    </w:p>
    <w:p w14:paraId="6D76DE95" w14:textId="56C7030A" w:rsidR="00E7490F" w:rsidRPr="00216069" w:rsidRDefault="00E7490F" w:rsidP="003C79ED">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The metabolism rate of omeprazole is somewhat reduced in elderly subjects (75-79 years of age).</w:t>
      </w:r>
    </w:p>
    <w:p w14:paraId="0445DFF6" w14:textId="77777777" w:rsidR="002E6432" w:rsidRPr="00216069" w:rsidRDefault="002E6432" w:rsidP="006E5361">
      <w:pPr>
        <w:shd w:val="clear" w:color="auto" w:fill="FFFFFF"/>
        <w:spacing w:after="0" w:line="360" w:lineRule="auto"/>
        <w:rPr>
          <w:rFonts w:asciiTheme="minorHAnsi" w:eastAsia="Times New Roman" w:hAnsiTheme="minorHAnsi" w:cs="Arial"/>
          <w:color w:val="000000"/>
          <w:kern w:val="0"/>
          <w:lang w:val="en-GB" w:eastAsia="en-GB"/>
        </w:rPr>
      </w:pPr>
    </w:p>
    <w:p w14:paraId="07AD8E27" w14:textId="77777777" w:rsidR="00E7490F" w:rsidRPr="00216069" w:rsidRDefault="00E7490F" w:rsidP="006E5361">
      <w:pPr>
        <w:shd w:val="clear" w:color="auto" w:fill="FFFFFF"/>
        <w:spacing w:after="0" w:line="360" w:lineRule="auto"/>
        <w:rPr>
          <w:rFonts w:asciiTheme="minorHAnsi" w:eastAsia="Times New Roman" w:hAnsiTheme="minorHAnsi" w:cs="Arial"/>
          <w:b/>
          <w:bCs/>
          <w:color w:val="000000"/>
          <w:kern w:val="0"/>
          <w:lang w:val="en-GB" w:eastAsia="en-GB"/>
        </w:rPr>
      </w:pPr>
      <w:r w:rsidRPr="00216069">
        <w:rPr>
          <w:rFonts w:asciiTheme="minorHAnsi" w:eastAsia="Times New Roman" w:hAnsiTheme="minorHAnsi" w:cs="Arial"/>
          <w:b/>
          <w:bCs/>
          <w:color w:val="000000"/>
          <w:kern w:val="0"/>
          <w:lang w:val="en-GB" w:eastAsia="en-GB"/>
        </w:rPr>
        <w:t>5.3 Preclinical safety data</w:t>
      </w:r>
    </w:p>
    <w:p w14:paraId="4C84A9C7" w14:textId="77777777" w:rsidR="00E7490F" w:rsidRPr="00216069" w:rsidRDefault="00E7490F" w:rsidP="00D579DD">
      <w:pPr>
        <w:shd w:val="clear" w:color="auto" w:fill="FFFFFF"/>
        <w:spacing w:after="0" w:line="360" w:lineRule="auto"/>
        <w:ind w:left="720"/>
        <w:rPr>
          <w:rFonts w:asciiTheme="minorHAnsi" w:eastAsia="Times New Roman" w:hAnsiTheme="minorHAnsi" w:cs="Arial"/>
          <w:color w:val="000000"/>
          <w:kern w:val="0"/>
          <w:lang w:val="en-GB" w:eastAsia="en-GB"/>
        </w:rPr>
      </w:pPr>
      <w:r w:rsidRPr="00216069">
        <w:rPr>
          <w:rFonts w:asciiTheme="minorHAnsi" w:eastAsia="Times New Roman" w:hAnsiTheme="minorHAnsi" w:cs="Arial"/>
          <w:color w:val="000000"/>
          <w:kern w:val="0"/>
          <w:lang w:val="en-GB" w:eastAsia="en-GB"/>
        </w:rPr>
        <w:t xml:space="preserve">Gastric ECL-cell hyperplasia and carcinoids, have been observed in life-long studies in rats treated with omeprazole. These changes are the result of sustained </w:t>
      </w:r>
      <w:proofErr w:type="spellStart"/>
      <w:r w:rsidRPr="00216069">
        <w:rPr>
          <w:rFonts w:asciiTheme="minorHAnsi" w:eastAsia="Times New Roman" w:hAnsiTheme="minorHAnsi" w:cs="Arial"/>
          <w:color w:val="000000"/>
          <w:kern w:val="0"/>
          <w:lang w:val="en-GB" w:eastAsia="en-GB"/>
        </w:rPr>
        <w:t>hypergastrinaemia</w:t>
      </w:r>
      <w:proofErr w:type="spellEnd"/>
      <w:r w:rsidRPr="00216069">
        <w:rPr>
          <w:rFonts w:asciiTheme="minorHAnsi" w:eastAsia="Times New Roman" w:hAnsiTheme="minorHAnsi" w:cs="Arial"/>
          <w:color w:val="000000"/>
          <w:kern w:val="0"/>
          <w:lang w:val="en-GB" w:eastAsia="en-GB"/>
        </w:rPr>
        <w:t xml:space="preserve"> secondary to acid inhibition. Similar findings have been made after treatment with H</w:t>
      </w:r>
      <w:r w:rsidRPr="00216069">
        <w:rPr>
          <w:rFonts w:asciiTheme="minorHAnsi" w:eastAsia="Times New Roman" w:hAnsiTheme="minorHAnsi" w:cs="Arial"/>
          <w:color w:val="000000"/>
          <w:kern w:val="0"/>
          <w:vertAlign w:val="subscript"/>
          <w:lang w:val="en-GB" w:eastAsia="en-GB"/>
        </w:rPr>
        <w:t>2</w:t>
      </w:r>
      <w:r w:rsidRPr="00216069">
        <w:rPr>
          <w:rFonts w:asciiTheme="minorHAnsi" w:eastAsia="Times New Roman" w:hAnsiTheme="minorHAnsi" w:cs="Arial"/>
          <w:color w:val="000000"/>
          <w:kern w:val="0"/>
          <w:lang w:val="en-GB" w:eastAsia="en-GB"/>
        </w:rPr>
        <w:t>-receptor antagonists, proton pump inhibitors and after partial fundectomy. Thus, these changes are not from a direct effect of any individual active substance.</w:t>
      </w:r>
    </w:p>
    <w:p w14:paraId="18720F69" w14:textId="597BB5FA" w:rsidR="00E83152" w:rsidRPr="00216069" w:rsidRDefault="00E83152">
      <w:pPr>
        <w:spacing w:after="0" w:line="240" w:lineRule="auto"/>
        <w:rPr>
          <w:rFonts w:asciiTheme="minorHAnsi" w:eastAsia="Times New Roman" w:hAnsiTheme="minorHAnsi"/>
          <w:lang w:val="en-GB"/>
        </w:rPr>
      </w:pPr>
      <w:r w:rsidRPr="00216069">
        <w:rPr>
          <w:rFonts w:asciiTheme="minorHAnsi" w:hAnsiTheme="minorHAnsi"/>
          <w:lang w:val="en-GB"/>
        </w:rPr>
        <w:br w:type="page"/>
      </w:r>
    </w:p>
    <w:p w14:paraId="6AC5F9FF"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lastRenderedPageBreak/>
        <w:t xml:space="preserve">6- </w:t>
      </w:r>
      <w:r w:rsidR="00AE30FE" w:rsidRPr="00216069">
        <w:rPr>
          <w:rFonts w:asciiTheme="minorHAnsi" w:hAnsiTheme="minorHAnsi"/>
          <w:b/>
          <w:lang w:val="en-GB"/>
        </w:rPr>
        <w:t>PHARMACEUTICAL PARTICULARS</w:t>
      </w:r>
    </w:p>
    <w:p w14:paraId="48149715" w14:textId="77777777" w:rsidR="001178BF" w:rsidRPr="00216069" w:rsidRDefault="001178BF" w:rsidP="006E5361">
      <w:pPr>
        <w:spacing w:after="0" w:line="360" w:lineRule="auto"/>
        <w:rPr>
          <w:rFonts w:asciiTheme="minorHAnsi" w:hAnsiTheme="minorHAnsi"/>
          <w:b/>
          <w:lang w:val="en-GB"/>
        </w:rPr>
      </w:pPr>
    </w:p>
    <w:p w14:paraId="58F4ECC0"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6.1 </w:t>
      </w:r>
      <w:r w:rsidR="00AE30FE" w:rsidRPr="00216069">
        <w:rPr>
          <w:rFonts w:asciiTheme="minorHAnsi" w:hAnsiTheme="minorHAnsi"/>
          <w:b/>
          <w:lang w:val="en-GB"/>
        </w:rPr>
        <w:t>List of excipients</w:t>
      </w:r>
    </w:p>
    <w:p w14:paraId="66039A6A" w14:textId="09AE4517" w:rsidR="006D3393" w:rsidRPr="00216069" w:rsidRDefault="003A67E9" w:rsidP="00E83152">
      <w:pPr>
        <w:pStyle w:val="ListParagraph"/>
        <w:spacing w:after="0" w:line="360" w:lineRule="auto"/>
        <w:ind w:left="378"/>
        <w:rPr>
          <w:rFonts w:asciiTheme="minorHAnsi" w:hAnsiTheme="minorHAnsi"/>
          <w:u w:val="single"/>
          <w:lang w:val="en-GB"/>
        </w:rPr>
      </w:pPr>
      <w:r w:rsidRPr="00216069">
        <w:rPr>
          <w:rFonts w:asciiTheme="minorHAnsi" w:hAnsiTheme="minorHAnsi"/>
          <w:u w:val="single"/>
          <w:lang w:val="en-GB"/>
        </w:rPr>
        <w:t>Vial with</w:t>
      </w:r>
      <w:r w:rsidR="00E83152" w:rsidRPr="00216069">
        <w:rPr>
          <w:rFonts w:asciiTheme="minorHAnsi" w:hAnsiTheme="minorHAnsi"/>
          <w:u w:val="single"/>
          <w:lang w:val="en-GB"/>
        </w:rPr>
        <w:t xml:space="preserve"> </w:t>
      </w:r>
      <w:r w:rsidRPr="00216069">
        <w:rPr>
          <w:rFonts w:asciiTheme="minorHAnsi" w:hAnsiTheme="minorHAnsi"/>
          <w:u w:val="single"/>
          <w:lang w:val="en-GB"/>
        </w:rPr>
        <w:t>powder of</w:t>
      </w:r>
      <w:r w:rsidR="006D3393" w:rsidRPr="00216069">
        <w:rPr>
          <w:rFonts w:asciiTheme="minorHAnsi" w:hAnsiTheme="minorHAnsi"/>
          <w:u w:val="single"/>
          <w:lang w:val="en-GB"/>
        </w:rPr>
        <w:t xml:space="preserve"> active substance</w:t>
      </w:r>
    </w:p>
    <w:p w14:paraId="3347B16C" w14:textId="77777777" w:rsidR="006D3393" w:rsidRPr="00216069" w:rsidRDefault="006D3393" w:rsidP="00E83152">
      <w:pPr>
        <w:pStyle w:val="ListParagraph"/>
        <w:numPr>
          <w:ilvl w:val="0"/>
          <w:numId w:val="22"/>
        </w:numPr>
        <w:spacing w:after="0" w:line="360" w:lineRule="auto"/>
        <w:ind w:left="792"/>
        <w:rPr>
          <w:rFonts w:asciiTheme="minorHAnsi" w:hAnsiTheme="minorHAnsi"/>
          <w:lang w:val="en-GB"/>
        </w:rPr>
      </w:pPr>
      <w:r w:rsidRPr="00216069">
        <w:rPr>
          <w:rFonts w:asciiTheme="minorHAnsi" w:hAnsiTheme="minorHAnsi"/>
          <w:lang w:val="en-GB"/>
        </w:rPr>
        <w:t>Sodium hydroxide (to adjust the pH).</w:t>
      </w:r>
    </w:p>
    <w:p w14:paraId="606E38B3" w14:textId="77777777" w:rsidR="006D3393" w:rsidRPr="00216069" w:rsidRDefault="006D3393" w:rsidP="00E83152">
      <w:pPr>
        <w:pStyle w:val="ListParagraph"/>
        <w:spacing w:after="0" w:line="360" w:lineRule="auto"/>
        <w:ind w:left="378"/>
        <w:rPr>
          <w:rFonts w:asciiTheme="minorHAnsi" w:hAnsiTheme="minorHAnsi"/>
          <w:u w:val="single"/>
          <w:lang w:val="en-GB"/>
        </w:rPr>
      </w:pPr>
      <w:r w:rsidRPr="00216069">
        <w:rPr>
          <w:rFonts w:asciiTheme="minorHAnsi" w:hAnsiTheme="minorHAnsi"/>
          <w:u w:val="single"/>
          <w:lang w:val="en-GB"/>
        </w:rPr>
        <w:t>Solvent ampoule</w:t>
      </w:r>
    </w:p>
    <w:p w14:paraId="7F821B44" w14:textId="77777777" w:rsidR="006D3393" w:rsidRPr="00216069" w:rsidRDefault="006D3393" w:rsidP="00E83152">
      <w:pPr>
        <w:pStyle w:val="ListParagraph"/>
        <w:numPr>
          <w:ilvl w:val="0"/>
          <w:numId w:val="22"/>
        </w:numPr>
        <w:spacing w:after="0" w:line="360" w:lineRule="auto"/>
        <w:ind w:left="792"/>
        <w:rPr>
          <w:rFonts w:asciiTheme="minorHAnsi" w:hAnsiTheme="minorHAnsi"/>
          <w:lang w:val="en-GB"/>
        </w:rPr>
      </w:pPr>
      <w:r w:rsidRPr="00216069">
        <w:rPr>
          <w:rFonts w:asciiTheme="minorHAnsi" w:hAnsiTheme="minorHAnsi"/>
          <w:lang w:val="en-GB"/>
        </w:rPr>
        <w:t>Citric acid monohydrate,</w:t>
      </w:r>
    </w:p>
    <w:p w14:paraId="3D5D03A7" w14:textId="77777777" w:rsidR="006D3393" w:rsidRPr="00216069" w:rsidRDefault="006D3393" w:rsidP="00E83152">
      <w:pPr>
        <w:pStyle w:val="ListParagraph"/>
        <w:numPr>
          <w:ilvl w:val="0"/>
          <w:numId w:val="22"/>
        </w:numPr>
        <w:spacing w:after="0" w:line="360" w:lineRule="auto"/>
        <w:ind w:left="792"/>
        <w:rPr>
          <w:rFonts w:asciiTheme="minorHAnsi" w:hAnsiTheme="minorHAnsi"/>
          <w:lang w:val="en-GB"/>
        </w:rPr>
      </w:pPr>
      <w:r w:rsidRPr="00216069">
        <w:rPr>
          <w:rFonts w:asciiTheme="minorHAnsi" w:hAnsiTheme="minorHAnsi"/>
          <w:lang w:val="en-GB"/>
        </w:rPr>
        <w:t>Macrogol 400,</w:t>
      </w:r>
    </w:p>
    <w:p w14:paraId="3461F290" w14:textId="77777777" w:rsidR="00621FA6" w:rsidRPr="00216069" w:rsidRDefault="006D3393" w:rsidP="00E83152">
      <w:pPr>
        <w:pStyle w:val="ListParagraph"/>
        <w:numPr>
          <w:ilvl w:val="0"/>
          <w:numId w:val="22"/>
        </w:numPr>
        <w:spacing w:after="0" w:line="360" w:lineRule="auto"/>
        <w:ind w:left="792"/>
        <w:rPr>
          <w:rFonts w:asciiTheme="minorHAnsi" w:hAnsiTheme="minorHAnsi"/>
          <w:lang w:val="en-GB"/>
        </w:rPr>
      </w:pPr>
      <w:r w:rsidRPr="00216069">
        <w:rPr>
          <w:rFonts w:asciiTheme="minorHAnsi" w:hAnsiTheme="minorHAnsi"/>
          <w:lang w:val="en-GB"/>
        </w:rPr>
        <w:t>Water for injection.</w:t>
      </w:r>
    </w:p>
    <w:p w14:paraId="2CA3506F" w14:textId="77777777" w:rsidR="006D3393" w:rsidRPr="00216069" w:rsidRDefault="006D3393" w:rsidP="006E5361">
      <w:pPr>
        <w:spacing w:after="0" w:line="360" w:lineRule="auto"/>
        <w:rPr>
          <w:rFonts w:asciiTheme="minorHAnsi" w:hAnsiTheme="minorHAnsi"/>
          <w:b/>
          <w:lang w:val="en-GB"/>
        </w:rPr>
      </w:pPr>
    </w:p>
    <w:p w14:paraId="10518F2A"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6.2 </w:t>
      </w:r>
      <w:r w:rsidR="00AE30FE" w:rsidRPr="00216069">
        <w:rPr>
          <w:rFonts w:asciiTheme="minorHAnsi" w:hAnsiTheme="minorHAnsi"/>
          <w:b/>
          <w:lang w:val="en-GB"/>
        </w:rPr>
        <w:t>Incompatibilities</w:t>
      </w:r>
    </w:p>
    <w:p w14:paraId="23EDF3C2" w14:textId="42FF3B3B" w:rsidR="006D3393" w:rsidRPr="00216069" w:rsidRDefault="006D3393" w:rsidP="006D3393">
      <w:pPr>
        <w:pStyle w:val="ListParagraph"/>
        <w:spacing w:after="0" w:line="360" w:lineRule="auto"/>
        <w:ind w:left="426"/>
        <w:rPr>
          <w:rFonts w:asciiTheme="minorHAnsi" w:hAnsiTheme="minorHAnsi"/>
          <w:lang w:val="en-GB"/>
        </w:rPr>
      </w:pPr>
      <w:proofErr w:type="spellStart"/>
      <w:r w:rsidRPr="00216069">
        <w:rPr>
          <w:rFonts w:asciiTheme="minorHAnsi" w:hAnsiTheme="minorHAnsi"/>
          <w:lang w:val="en-GB"/>
        </w:rPr>
        <w:t>Dafrazol</w:t>
      </w:r>
      <w:proofErr w:type="spellEnd"/>
      <w:r w:rsidRPr="00216069">
        <w:rPr>
          <w:rFonts w:asciiTheme="minorHAnsi" w:hAnsiTheme="minorHAnsi"/>
          <w:lang w:val="en-GB"/>
        </w:rPr>
        <w:t xml:space="preserve"> IV </w:t>
      </w:r>
      <w:r w:rsidR="00E83152" w:rsidRPr="00216069">
        <w:rPr>
          <w:rFonts w:asciiTheme="minorHAnsi" w:hAnsiTheme="minorHAnsi"/>
          <w:lang w:val="en-GB"/>
        </w:rPr>
        <w:t>should not</w:t>
      </w:r>
      <w:r w:rsidRPr="00216069">
        <w:rPr>
          <w:rFonts w:asciiTheme="minorHAnsi" w:hAnsiTheme="minorHAnsi"/>
          <w:lang w:val="en-GB"/>
        </w:rPr>
        <w:t xml:space="preserve"> be mixed with products other than those mentioned in section 6.6.</w:t>
      </w:r>
    </w:p>
    <w:p w14:paraId="7AAD2779" w14:textId="77777777" w:rsidR="006D3393" w:rsidRPr="00216069" w:rsidRDefault="006D3393" w:rsidP="006E5361">
      <w:pPr>
        <w:spacing w:after="0" w:line="360" w:lineRule="auto"/>
        <w:rPr>
          <w:rFonts w:asciiTheme="minorHAnsi" w:eastAsia="Times New Roman" w:hAnsiTheme="minorHAnsi"/>
          <w:lang w:val="en-GB"/>
        </w:rPr>
      </w:pPr>
    </w:p>
    <w:p w14:paraId="5FD05088"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6.3 </w:t>
      </w:r>
      <w:r w:rsidR="00AE30FE" w:rsidRPr="00216069">
        <w:rPr>
          <w:rFonts w:asciiTheme="minorHAnsi" w:hAnsiTheme="minorHAnsi"/>
          <w:b/>
          <w:lang w:val="en-GB"/>
        </w:rPr>
        <w:t>Shelf life</w:t>
      </w:r>
    </w:p>
    <w:p w14:paraId="55AE49BF" w14:textId="7FE80C03" w:rsidR="002B3DDF" w:rsidRPr="00216069" w:rsidRDefault="006D3393" w:rsidP="006E5361">
      <w:pPr>
        <w:pStyle w:val="ListParagraph"/>
        <w:spacing w:after="0" w:line="360" w:lineRule="auto"/>
        <w:ind w:left="426"/>
        <w:rPr>
          <w:rFonts w:asciiTheme="minorHAnsi" w:hAnsiTheme="minorHAnsi"/>
          <w:lang w:val="en-GB"/>
        </w:rPr>
      </w:pPr>
      <w:r w:rsidRPr="00216069">
        <w:rPr>
          <w:rFonts w:asciiTheme="minorHAnsi" w:hAnsiTheme="minorHAnsi"/>
          <w:lang w:val="en-GB"/>
        </w:rPr>
        <w:t>3</w:t>
      </w:r>
      <w:r w:rsidR="00621FA6" w:rsidRPr="00216069">
        <w:rPr>
          <w:rFonts w:asciiTheme="minorHAnsi" w:hAnsiTheme="minorHAnsi"/>
          <w:lang w:val="en-GB"/>
        </w:rPr>
        <w:t xml:space="preserve"> years</w:t>
      </w:r>
      <w:r w:rsidR="001E7913" w:rsidRPr="00216069">
        <w:rPr>
          <w:rFonts w:asciiTheme="minorHAnsi" w:hAnsiTheme="minorHAnsi"/>
          <w:lang w:val="en-GB"/>
        </w:rPr>
        <w:t xml:space="preserve"> (36 months)</w:t>
      </w:r>
    </w:p>
    <w:p w14:paraId="0421D5E4" w14:textId="77777777" w:rsidR="001E7913" w:rsidRPr="00216069" w:rsidRDefault="001E7913" w:rsidP="006E5361">
      <w:pPr>
        <w:pStyle w:val="ListParagraph"/>
        <w:spacing w:after="0" w:line="360" w:lineRule="auto"/>
        <w:ind w:left="426"/>
        <w:rPr>
          <w:rFonts w:asciiTheme="minorHAnsi" w:hAnsiTheme="minorHAnsi"/>
          <w:lang w:val="en-GB"/>
        </w:rPr>
      </w:pPr>
    </w:p>
    <w:p w14:paraId="1A500426"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6.4 </w:t>
      </w:r>
      <w:r w:rsidR="00AE30FE" w:rsidRPr="00216069">
        <w:rPr>
          <w:rFonts w:asciiTheme="minorHAnsi" w:hAnsiTheme="minorHAnsi"/>
          <w:b/>
          <w:lang w:val="en-GB"/>
        </w:rPr>
        <w:t>Special precautions for storage</w:t>
      </w:r>
    </w:p>
    <w:p w14:paraId="0ABBDE87" w14:textId="60C925BB" w:rsidR="006D3393" w:rsidRPr="00216069" w:rsidRDefault="006D3393" w:rsidP="006D3393">
      <w:pPr>
        <w:pStyle w:val="ListParagraph"/>
        <w:spacing w:after="0" w:line="360" w:lineRule="auto"/>
        <w:ind w:left="426"/>
        <w:rPr>
          <w:rFonts w:asciiTheme="minorHAnsi" w:hAnsiTheme="minorHAnsi"/>
          <w:lang w:val="en-GB"/>
        </w:rPr>
      </w:pPr>
      <w:r w:rsidRPr="00216069">
        <w:rPr>
          <w:rFonts w:asciiTheme="minorHAnsi" w:hAnsiTheme="minorHAnsi"/>
          <w:lang w:val="en-GB"/>
        </w:rPr>
        <w:t xml:space="preserve">Store </w:t>
      </w:r>
      <w:r w:rsidR="001E7913" w:rsidRPr="00216069">
        <w:rPr>
          <w:rFonts w:asciiTheme="minorHAnsi" w:hAnsiTheme="minorHAnsi"/>
          <w:lang w:val="en-GB"/>
        </w:rPr>
        <w:t>below</w:t>
      </w:r>
      <w:r w:rsidRPr="00216069">
        <w:rPr>
          <w:rFonts w:asciiTheme="minorHAnsi" w:hAnsiTheme="minorHAnsi"/>
          <w:lang w:val="en-GB"/>
        </w:rPr>
        <w:t xml:space="preserve"> 30 ° C.</w:t>
      </w:r>
    </w:p>
    <w:p w14:paraId="6454A7C6" w14:textId="6D5B3CB6" w:rsidR="006D3393" w:rsidRPr="00216069" w:rsidRDefault="006D3393" w:rsidP="006D3393">
      <w:pPr>
        <w:pStyle w:val="ListParagraph"/>
        <w:spacing w:after="0" w:line="360" w:lineRule="auto"/>
        <w:ind w:left="426"/>
        <w:rPr>
          <w:rFonts w:asciiTheme="minorHAnsi" w:hAnsiTheme="minorHAnsi"/>
          <w:lang w:val="en-GB"/>
        </w:rPr>
      </w:pPr>
      <w:r w:rsidRPr="00216069">
        <w:rPr>
          <w:rFonts w:asciiTheme="minorHAnsi" w:hAnsiTheme="minorHAnsi"/>
          <w:lang w:val="en-GB"/>
        </w:rPr>
        <w:t xml:space="preserve">Keep the </w:t>
      </w:r>
      <w:r w:rsidR="001E7913" w:rsidRPr="00216069">
        <w:rPr>
          <w:rFonts w:asciiTheme="minorHAnsi" w:hAnsiTheme="minorHAnsi"/>
          <w:lang w:val="en-GB"/>
        </w:rPr>
        <w:t>containers (vial and ampoule)</w:t>
      </w:r>
      <w:r w:rsidRPr="00216069">
        <w:rPr>
          <w:rFonts w:asciiTheme="minorHAnsi" w:hAnsiTheme="minorHAnsi"/>
          <w:lang w:val="en-GB"/>
        </w:rPr>
        <w:t xml:space="preserve"> in the original package in order to protect from light.</w:t>
      </w:r>
    </w:p>
    <w:p w14:paraId="1EB542C1" w14:textId="77777777" w:rsidR="006D3393" w:rsidRPr="00216069" w:rsidRDefault="006D3393" w:rsidP="006D3393">
      <w:pPr>
        <w:pStyle w:val="ListParagraph"/>
        <w:spacing w:after="0" w:line="360" w:lineRule="auto"/>
        <w:ind w:left="426"/>
        <w:rPr>
          <w:rFonts w:asciiTheme="minorHAnsi" w:hAnsiTheme="minorHAnsi"/>
          <w:lang w:val="en-GB"/>
        </w:rPr>
      </w:pPr>
    </w:p>
    <w:p w14:paraId="42731835" w14:textId="2474436E" w:rsidR="00B33580" w:rsidRPr="00216069" w:rsidRDefault="00B33580" w:rsidP="006D3393">
      <w:pPr>
        <w:pStyle w:val="ListParagraph"/>
        <w:spacing w:after="0" w:line="360" w:lineRule="auto"/>
        <w:ind w:left="426"/>
        <w:rPr>
          <w:rFonts w:asciiTheme="minorHAnsi" w:hAnsiTheme="minorHAnsi"/>
          <w:lang w:val="en-GB"/>
        </w:rPr>
      </w:pPr>
      <w:r w:rsidRPr="00216069">
        <w:rPr>
          <w:rFonts w:asciiTheme="minorHAnsi" w:hAnsiTheme="minorHAnsi"/>
          <w:lang w:val="en-GB"/>
        </w:rPr>
        <w:t xml:space="preserve">Reconstituted solution: </w:t>
      </w:r>
      <w:r w:rsidR="006D3393" w:rsidRPr="00216069">
        <w:rPr>
          <w:rFonts w:asciiTheme="minorHAnsi" w:hAnsiTheme="minorHAnsi"/>
          <w:lang w:val="en-GB"/>
        </w:rPr>
        <w:t>The chemical</w:t>
      </w:r>
      <w:r w:rsidRPr="00216069">
        <w:rPr>
          <w:rFonts w:asciiTheme="minorHAnsi" w:hAnsiTheme="minorHAnsi"/>
          <w:lang w:val="en-GB"/>
        </w:rPr>
        <w:t xml:space="preserve"> and </w:t>
      </w:r>
      <w:r w:rsidR="003A67E9" w:rsidRPr="00216069">
        <w:rPr>
          <w:rFonts w:asciiTheme="minorHAnsi" w:hAnsiTheme="minorHAnsi"/>
          <w:lang w:val="en-GB"/>
        </w:rPr>
        <w:t>physical in</w:t>
      </w:r>
      <w:r w:rsidRPr="00216069">
        <w:rPr>
          <w:rFonts w:asciiTheme="minorHAnsi" w:hAnsiTheme="minorHAnsi"/>
          <w:lang w:val="en-GB"/>
        </w:rPr>
        <w:t>-use stability</w:t>
      </w:r>
      <w:r w:rsidR="006D3393" w:rsidRPr="00216069">
        <w:rPr>
          <w:rFonts w:asciiTheme="minorHAnsi" w:hAnsiTheme="minorHAnsi"/>
          <w:lang w:val="en-GB"/>
        </w:rPr>
        <w:t xml:space="preserve"> has been demonstrated for 4 hours at </w:t>
      </w:r>
      <w:r w:rsidRPr="00216069">
        <w:rPr>
          <w:rFonts w:asciiTheme="minorHAnsi" w:hAnsiTheme="minorHAnsi"/>
          <w:lang w:val="en-GB"/>
        </w:rPr>
        <w:t>room temperature (</w:t>
      </w:r>
      <w:r w:rsidR="006D3393" w:rsidRPr="00216069">
        <w:rPr>
          <w:rFonts w:asciiTheme="minorHAnsi" w:hAnsiTheme="minorHAnsi"/>
          <w:lang w:val="en-GB"/>
        </w:rPr>
        <w:t>25 ° C</w:t>
      </w:r>
      <w:r w:rsidRPr="00216069">
        <w:rPr>
          <w:rFonts w:asciiTheme="minorHAnsi" w:hAnsiTheme="minorHAnsi"/>
          <w:lang w:val="en-GB"/>
        </w:rPr>
        <w:t>)</w:t>
      </w:r>
      <w:r w:rsidR="006D3393" w:rsidRPr="00216069">
        <w:rPr>
          <w:rFonts w:asciiTheme="minorHAnsi" w:hAnsiTheme="minorHAnsi"/>
          <w:lang w:val="en-GB"/>
        </w:rPr>
        <w:t xml:space="preserve"> and for 12 hours </w:t>
      </w:r>
      <w:r w:rsidRPr="00216069">
        <w:rPr>
          <w:rFonts w:asciiTheme="minorHAnsi" w:hAnsiTheme="minorHAnsi"/>
          <w:lang w:val="en-GB"/>
        </w:rPr>
        <w:t xml:space="preserve">refrigerated </w:t>
      </w:r>
      <w:r w:rsidR="003A67E9" w:rsidRPr="00216069">
        <w:rPr>
          <w:rFonts w:asciiTheme="minorHAnsi" w:hAnsiTheme="minorHAnsi"/>
          <w:lang w:val="en-GB"/>
        </w:rPr>
        <w:t>(2</w:t>
      </w:r>
      <w:r w:rsidRPr="00216069">
        <w:rPr>
          <w:rFonts w:asciiTheme="minorHAnsi" w:hAnsiTheme="minorHAnsi"/>
          <w:lang w:val="en-GB"/>
        </w:rPr>
        <w:t>°C-8°C)</w:t>
      </w:r>
      <w:r w:rsidR="006D3393" w:rsidRPr="00216069">
        <w:rPr>
          <w:rFonts w:asciiTheme="minorHAnsi" w:hAnsiTheme="minorHAnsi"/>
          <w:lang w:val="en-GB"/>
        </w:rPr>
        <w:t xml:space="preserve">. </w:t>
      </w:r>
    </w:p>
    <w:p w14:paraId="2ACEA834" w14:textId="7895B1BA" w:rsidR="006D3393" w:rsidRPr="00216069" w:rsidRDefault="006D3393" w:rsidP="006D3393">
      <w:pPr>
        <w:pStyle w:val="ListParagraph"/>
        <w:spacing w:after="0" w:line="360" w:lineRule="auto"/>
        <w:ind w:left="426"/>
        <w:rPr>
          <w:rFonts w:asciiTheme="minorHAnsi" w:hAnsiTheme="minorHAnsi"/>
          <w:lang w:val="en-GB"/>
        </w:rPr>
      </w:pPr>
      <w:r w:rsidRPr="00216069">
        <w:rPr>
          <w:rFonts w:asciiTheme="minorHAnsi" w:hAnsiTheme="minorHAnsi"/>
          <w:lang w:val="en-GB"/>
        </w:rPr>
        <w:t xml:space="preserve">From a microbiological point of view, the product should be used immediately unless </w:t>
      </w:r>
      <w:r w:rsidR="00B33580" w:rsidRPr="00216069">
        <w:rPr>
          <w:rFonts w:asciiTheme="minorHAnsi" w:hAnsiTheme="minorHAnsi"/>
          <w:lang w:val="en-GB"/>
        </w:rPr>
        <w:t xml:space="preserve">the solution is </w:t>
      </w:r>
      <w:r w:rsidRPr="00216069">
        <w:rPr>
          <w:rFonts w:asciiTheme="minorHAnsi" w:hAnsiTheme="minorHAnsi"/>
          <w:lang w:val="en-GB"/>
        </w:rPr>
        <w:t>reconstituted under controlled and validated aseptic conditions.</w:t>
      </w:r>
    </w:p>
    <w:p w14:paraId="55178E4F" w14:textId="597F1964" w:rsidR="006D3393" w:rsidRPr="00216069" w:rsidRDefault="006D3393" w:rsidP="006D3393">
      <w:pPr>
        <w:spacing w:after="0" w:line="360" w:lineRule="auto"/>
        <w:rPr>
          <w:rFonts w:asciiTheme="minorHAnsi" w:eastAsia="Times New Roman" w:hAnsiTheme="minorHAnsi"/>
          <w:lang w:val="en-GB"/>
        </w:rPr>
      </w:pPr>
    </w:p>
    <w:p w14:paraId="7BFE0158" w14:textId="5A867C03" w:rsidR="00BA10CD" w:rsidRPr="00216069" w:rsidRDefault="00BA10CD" w:rsidP="006D3393">
      <w:pPr>
        <w:spacing w:after="0" w:line="360" w:lineRule="auto"/>
        <w:rPr>
          <w:rFonts w:asciiTheme="minorHAnsi" w:eastAsia="Times New Roman" w:hAnsiTheme="minorHAnsi"/>
          <w:lang w:val="en-GB"/>
        </w:rPr>
      </w:pPr>
    </w:p>
    <w:p w14:paraId="7450606B" w14:textId="4A8FE733" w:rsidR="00BA10CD" w:rsidRPr="00216069" w:rsidRDefault="00BA10CD" w:rsidP="006D3393">
      <w:pPr>
        <w:spacing w:after="0" w:line="360" w:lineRule="auto"/>
        <w:rPr>
          <w:rFonts w:asciiTheme="minorHAnsi" w:eastAsia="Times New Roman" w:hAnsiTheme="minorHAnsi"/>
          <w:lang w:val="en-GB"/>
        </w:rPr>
      </w:pPr>
    </w:p>
    <w:p w14:paraId="0DA572F6" w14:textId="77777777" w:rsidR="00BA10CD" w:rsidRPr="00216069" w:rsidRDefault="00BA10CD" w:rsidP="006D3393">
      <w:pPr>
        <w:spacing w:after="0" w:line="360" w:lineRule="auto"/>
        <w:rPr>
          <w:rFonts w:asciiTheme="minorHAnsi" w:eastAsia="Times New Roman" w:hAnsiTheme="minorHAnsi"/>
          <w:lang w:val="en-GB"/>
        </w:rPr>
      </w:pPr>
    </w:p>
    <w:p w14:paraId="03BB481E" w14:textId="77777777" w:rsidR="00AE30FE" w:rsidRPr="00216069" w:rsidRDefault="009B0007" w:rsidP="006D3393">
      <w:pPr>
        <w:spacing w:after="0" w:line="360" w:lineRule="auto"/>
        <w:rPr>
          <w:rFonts w:asciiTheme="minorHAnsi" w:hAnsiTheme="minorHAnsi"/>
          <w:b/>
          <w:lang w:val="en-GB"/>
        </w:rPr>
      </w:pPr>
      <w:r w:rsidRPr="00216069">
        <w:rPr>
          <w:rFonts w:asciiTheme="minorHAnsi" w:hAnsiTheme="minorHAnsi"/>
          <w:b/>
          <w:lang w:val="en-GB"/>
        </w:rPr>
        <w:lastRenderedPageBreak/>
        <w:t xml:space="preserve">6.5 </w:t>
      </w:r>
      <w:r w:rsidR="00AE30FE" w:rsidRPr="00216069">
        <w:rPr>
          <w:rFonts w:asciiTheme="minorHAnsi" w:hAnsiTheme="minorHAnsi"/>
          <w:b/>
          <w:lang w:val="en-GB"/>
        </w:rPr>
        <w:t>Nature and contents of container</w:t>
      </w:r>
    </w:p>
    <w:p w14:paraId="42CA4B17" w14:textId="2B2FB87E" w:rsidR="006D3393" w:rsidRPr="00216069" w:rsidRDefault="009D0E09" w:rsidP="006D3393">
      <w:pPr>
        <w:pStyle w:val="ListParagraph"/>
        <w:spacing w:after="0" w:line="360" w:lineRule="auto"/>
        <w:ind w:left="426"/>
        <w:rPr>
          <w:rFonts w:asciiTheme="minorHAnsi" w:hAnsiTheme="minorHAnsi"/>
          <w:lang w:val="en-GB"/>
        </w:rPr>
      </w:pPr>
      <w:r w:rsidRPr="00216069">
        <w:rPr>
          <w:rFonts w:asciiTheme="minorHAnsi" w:hAnsiTheme="minorHAnsi"/>
          <w:u w:val="single"/>
          <w:lang w:val="en-GB"/>
        </w:rPr>
        <w:t>Powder vial</w:t>
      </w:r>
      <w:r w:rsidRPr="00216069">
        <w:rPr>
          <w:rFonts w:asciiTheme="minorHAnsi" w:hAnsiTheme="minorHAnsi"/>
          <w:lang w:val="en-GB"/>
        </w:rPr>
        <w:t xml:space="preserve">: Transparent type I glass vial of </w:t>
      </w:r>
      <w:r w:rsidR="006D3393" w:rsidRPr="00216069">
        <w:rPr>
          <w:rFonts w:asciiTheme="minorHAnsi" w:hAnsiTheme="minorHAnsi"/>
          <w:lang w:val="en-GB"/>
        </w:rPr>
        <w:t>12 ml containing</w:t>
      </w:r>
      <w:r w:rsidRPr="00216069">
        <w:rPr>
          <w:rFonts w:asciiTheme="minorHAnsi" w:hAnsiTheme="minorHAnsi"/>
          <w:lang w:val="en-GB"/>
        </w:rPr>
        <w:t xml:space="preserve"> a white or almost white cake</w:t>
      </w:r>
      <w:r w:rsidR="001A7FEE" w:rsidRPr="00216069">
        <w:rPr>
          <w:rFonts w:asciiTheme="minorHAnsi" w:hAnsiTheme="minorHAnsi"/>
          <w:lang w:val="en-GB"/>
        </w:rPr>
        <w:t xml:space="preserve"> (</w:t>
      </w:r>
      <w:proofErr w:type="spellStart"/>
      <w:r w:rsidR="001A7FEE" w:rsidRPr="00216069">
        <w:rPr>
          <w:rFonts w:asciiTheme="minorHAnsi" w:hAnsiTheme="minorHAnsi"/>
        </w:rPr>
        <w:t>lyophilisate</w:t>
      </w:r>
      <w:r w:rsidR="00BA10CD" w:rsidRPr="00216069">
        <w:rPr>
          <w:rFonts w:asciiTheme="minorHAnsi" w:hAnsiTheme="minorHAnsi"/>
        </w:rPr>
        <w:t>d</w:t>
      </w:r>
      <w:proofErr w:type="spellEnd"/>
      <w:r w:rsidR="00BA10CD" w:rsidRPr="00216069">
        <w:rPr>
          <w:rFonts w:asciiTheme="minorHAnsi" w:hAnsiTheme="minorHAnsi"/>
          <w:lang w:val="en-GB"/>
        </w:rPr>
        <w:t xml:space="preserve"> powder</w:t>
      </w:r>
      <w:proofErr w:type="gramStart"/>
      <w:r w:rsidR="001A7FEE" w:rsidRPr="00216069">
        <w:rPr>
          <w:rFonts w:asciiTheme="minorHAnsi" w:hAnsiTheme="minorHAnsi"/>
          <w:lang w:val="en-GB"/>
        </w:rPr>
        <w:t xml:space="preserve">) </w:t>
      </w:r>
      <w:r w:rsidR="006D3393" w:rsidRPr="00216069">
        <w:rPr>
          <w:rFonts w:asciiTheme="minorHAnsi" w:hAnsiTheme="minorHAnsi"/>
          <w:lang w:val="en-GB"/>
        </w:rPr>
        <w:t>,</w:t>
      </w:r>
      <w:proofErr w:type="gramEnd"/>
      <w:r w:rsidR="006D3393" w:rsidRPr="00216069">
        <w:rPr>
          <w:rFonts w:asciiTheme="minorHAnsi" w:hAnsiTheme="minorHAnsi"/>
          <w:lang w:val="en-GB"/>
        </w:rPr>
        <w:t xml:space="preserve">  closed with a </w:t>
      </w:r>
      <w:proofErr w:type="spellStart"/>
      <w:r w:rsidR="006D3393" w:rsidRPr="00216069">
        <w:rPr>
          <w:rFonts w:asciiTheme="minorHAnsi" w:hAnsiTheme="minorHAnsi"/>
          <w:lang w:val="en-GB"/>
        </w:rPr>
        <w:t>bromobutyl</w:t>
      </w:r>
      <w:proofErr w:type="spellEnd"/>
      <w:r w:rsidR="006D3393" w:rsidRPr="00216069">
        <w:rPr>
          <w:rFonts w:asciiTheme="minorHAnsi" w:hAnsiTheme="minorHAnsi"/>
          <w:lang w:val="en-GB"/>
        </w:rPr>
        <w:t xml:space="preserve"> stopper and </w:t>
      </w:r>
      <w:r w:rsidR="00216069" w:rsidRPr="00216069">
        <w:rPr>
          <w:rFonts w:asciiTheme="minorHAnsi" w:hAnsiTheme="minorHAnsi"/>
          <w:lang w:val="en-GB"/>
        </w:rPr>
        <w:t>aluminium</w:t>
      </w:r>
      <w:r w:rsidR="006D3393" w:rsidRPr="00216069">
        <w:rPr>
          <w:rFonts w:asciiTheme="minorHAnsi" w:hAnsiTheme="minorHAnsi"/>
          <w:lang w:val="en-GB"/>
        </w:rPr>
        <w:t xml:space="preserve"> </w:t>
      </w:r>
      <w:r w:rsidRPr="00216069">
        <w:rPr>
          <w:rFonts w:asciiTheme="minorHAnsi" w:hAnsiTheme="minorHAnsi"/>
          <w:lang w:val="en-GB"/>
        </w:rPr>
        <w:t xml:space="preserve">flip-off </w:t>
      </w:r>
      <w:r w:rsidR="006D3393" w:rsidRPr="00216069">
        <w:rPr>
          <w:rFonts w:asciiTheme="minorHAnsi" w:hAnsiTheme="minorHAnsi"/>
          <w:lang w:val="en-GB"/>
        </w:rPr>
        <w:t>cap.</w:t>
      </w:r>
    </w:p>
    <w:p w14:paraId="65AF80ED" w14:textId="348B3766" w:rsidR="006D3393" w:rsidRPr="00216069" w:rsidRDefault="009D0E09" w:rsidP="006D3393">
      <w:pPr>
        <w:pStyle w:val="ListParagraph"/>
        <w:spacing w:after="0" w:line="360" w:lineRule="auto"/>
        <w:ind w:left="426"/>
        <w:rPr>
          <w:rFonts w:asciiTheme="minorHAnsi" w:hAnsiTheme="minorHAnsi"/>
          <w:lang w:val="en-GB"/>
        </w:rPr>
      </w:pPr>
      <w:r w:rsidRPr="00216069">
        <w:rPr>
          <w:rFonts w:asciiTheme="minorHAnsi" w:hAnsiTheme="minorHAnsi"/>
          <w:u w:val="single"/>
          <w:lang w:val="en-GB"/>
        </w:rPr>
        <w:t>Solvent a</w:t>
      </w:r>
      <w:r w:rsidR="006D3393" w:rsidRPr="00216069">
        <w:rPr>
          <w:rFonts w:asciiTheme="minorHAnsi" w:hAnsiTheme="minorHAnsi"/>
          <w:u w:val="single"/>
          <w:lang w:val="en-GB"/>
        </w:rPr>
        <w:t>mpoule</w:t>
      </w:r>
      <w:r w:rsidRPr="00216069">
        <w:rPr>
          <w:rFonts w:asciiTheme="minorHAnsi" w:hAnsiTheme="minorHAnsi"/>
          <w:lang w:val="en-GB"/>
        </w:rPr>
        <w:t>: Type I transparent glass ampoule with</w:t>
      </w:r>
      <w:r w:rsidR="006D3393" w:rsidRPr="00216069">
        <w:rPr>
          <w:rFonts w:asciiTheme="minorHAnsi" w:hAnsiTheme="minorHAnsi"/>
          <w:lang w:val="en-GB"/>
        </w:rPr>
        <w:t xml:space="preserve"> 10 ml of </w:t>
      </w:r>
      <w:r w:rsidRPr="00216069">
        <w:rPr>
          <w:rFonts w:asciiTheme="minorHAnsi" w:hAnsiTheme="minorHAnsi"/>
          <w:lang w:val="en-GB"/>
        </w:rPr>
        <w:t>clear, colourless solution.</w:t>
      </w:r>
    </w:p>
    <w:p w14:paraId="18F2008E" w14:textId="3F50FBBE" w:rsidR="006D3393" w:rsidRPr="00216069" w:rsidRDefault="006D3393" w:rsidP="006D3393">
      <w:pPr>
        <w:pStyle w:val="ListParagraph"/>
        <w:spacing w:after="0" w:line="360" w:lineRule="auto"/>
        <w:ind w:left="426"/>
        <w:rPr>
          <w:rFonts w:asciiTheme="minorHAnsi" w:hAnsiTheme="minorHAnsi"/>
          <w:lang w:val="en-GB"/>
        </w:rPr>
      </w:pPr>
      <w:r w:rsidRPr="00216069">
        <w:rPr>
          <w:rFonts w:asciiTheme="minorHAnsi" w:hAnsiTheme="minorHAnsi"/>
          <w:lang w:val="en-GB"/>
        </w:rPr>
        <w:t xml:space="preserve">Cardboard box with plastic tray carrying </w:t>
      </w:r>
      <w:r w:rsidR="009D0E09" w:rsidRPr="00216069">
        <w:rPr>
          <w:rFonts w:asciiTheme="minorHAnsi" w:hAnsiTheme="minorHAnsi"/>
          <w:lang w:val="en-GB"/>
        </w:rPr>
        <w:t xml:space="preserve">the </w:t>
      </w:r>
      <w:r w:rsidR="003A67E9" w:rsidRPr="00216069">
        <w:rPr>
          <w:rFonts w:asciiTheme="minorHAnsi" w:hAnsiTheme="minorHAnsi"/>
          <w:lang w:val="en-GB"/>
        </w:rPr>
        <w:t>vial,</w:t>
      </w:r>
      <w:r w:rsidR="009D0E09" w:rsidRPr="00216069">
        <w:rPr>
          <w:rFonts w:asciiTheme="minorHAnsi" w:hAnsiTheme="minorHAnsi"/>
          <w:lang w:val="en-GB"/>
        </w:rPr>
        <w:t xml:space="preserve"> the ampoule and a patient leaflet.</w:t>
      </w:r>
    </w:p>
    <w:p w14:paraId="170C161D" w14:textId="77777777" w:rsidR="006D3393" w:rsidRPr="00216069" w:rsidRDefault="006D3393" w:rsidP="006D3393">
      <w:pPr>
        <w:spacing w:after="0" w:line="360" w:lineRule="auto"/>
        <w:rPr>
          <w:rFonts w:asciiTheme="minorHAnsi" w:eastAsia="Times New Roman" w:hAnsiTheme="minorHAnsi"/>
          <w:lang w:val="en-GB"/>
        </w:rPr>
      </w:pPr>
    </w:p>
    <w:p w14:paraId="45B917CC" w14:textId="77777777" w:rsidR="00AE30FE" w:rsidRPr="00216069" w:rsidRDefault="009B0007" w:rsidP="006D3393">
      <w:pPr>
        <w:spacing w:after="0" w:line="360" w:lineRule="auto"/>
        <w:rPr>
          <w:rFonts w:asciiTheme="minorHAnsi" w:eastAsia="Times New Roman" w:hAnsiTheme="minorHAnsi"/>
          <w:lang w:val="en-GB"/>
        </w:rPr>
      </w:pPr>
      <w:r w:rsidRPr="00216069">
        <w:rPr>
          <w:rFonts w:asciiTheme="minorHAnsi" w:hAnsiTheme="minorHAnsi"/>
          <w:b/>
          <w:lang w:val="en-GB"/>
        </w:rPr>
        <w:t xml:space="preserve">6.6 </w:t>
      </w:r>
      <w:r w:rsidR="00AE30FE" w:rsidRPr="00216069">
        <w:rPr>
          <w:rFonts w:asciiTheme="minorHAnsi" w:hAnsiTheme="minorHAnsi"/>
          <w:b/>
          <w:lang w:val="en-GB"/>
        </w:rPr>
        <w:t>Special precautions for disposal and other handlings</w:t>
      </w:r>
    </w:p>
    <w:p w14:paraId="68D2CEF7" w14:textId="390B879C" w:rsidR="0057277C" w:rsidRPr="00216069" w:rsidRDefault="0057277C" w:rsidP="0057277C">
      <w:pPr>
        <w:pStyle w:val="ListParagraph"/>
        <w:spacing w:after="0" w:line="360" w:lineRule="auto"/>
        <w:ind w:left="426"/>
        <w:rPr>
          <w:rFonts w:asciiTheme="minorHAnsi" w:hAnsiTheme="minorHAnsi"/>
          <w:lang w:val="en-GB"/>
        </w:rPr>
      </w:pPr>
      <w:r w:rsidRPr="00216069">
        <w:rPr>
          <w:rFonts w:asciiTheme="minorHAnsi" w:hAnsiTheme="minorHAnsi"/>
          <w:lang w:val="en-GB"/>
        </w:rPr>
        <w:t xml:space="preserve">The solution for injection of </w:t>
      </w:r>
      <w:proofErr w:type="spellStart"/>
      <w:r w:rsidRPr="00216069">
        <w:rPr>
          <w:rFonts w:asciiTheme="minorHAnsi" w:hAnsiTheme="minorHAnsi"/>
          <w:lang w:val="en-GB"/>
        </w:rPr>
        <w:t>Dafrazol</w:t>
      </w:r>
      <w:proofErr w:type="spellEnd"/>
      <w:r w:rsidRPr="00216069">
        <w:rPr>
          <w:rFonts w:asciiTheme="minorHAnsi" w:hAnsiTheme="minorHAnsi"/>
          <w:lang w:val="en-GB"/>
        </w:rPr>
        <w:t xml:space="preserve"> IV is obtained by dissolving the </w:t>
      </w:r>
      <w:r w:rsidR="00BA10CD" w:rsidRPr="00216069">
        <w:rPr>
          <w:rFonts w:asciiTheme="minorHAnsi" w:hAnsiTheme="minorHAnsi"/>
          <w:lang w:val="en-GB"/>
        </w:rPr>
        <w:t>powder</w:t>
      </w:r>
      <w:r w:rsidRPr="00216069">
        <w:rPr>
          <w:rFonts w:asciiTheme="minorHAnsi" w:hAnsiTheme="minorHAnsi"/>
          <w:lang w:val="en-GB"/>
        </w:rPr>
        <w:t xml:space="preserve"> with the accompanying solvent. No other solvent should be used.</w:t>
      </w:r>
    </w:p>
    <w:p w14:paraId="7A5ABC1C" w14:textId="2D6C8E6E" w:rsidR="0057277C" w:rsidRPr="00216069" w:rsidRDefault="0057277C" w:rsidP="0057277C">
      <w:pPr>
        <w:pStyle w:val="ListParagraph"/>
        <w:spacing w:after="0" w:line="360" w:lineRule="auto"/>
        <w:ind w:left="426"/>
        <w:rPr>
          <w:rFonts w:asciiTheme="minorHAnsi" w:hAnsiTheme="minorHAnsi"/>
          <w:lang w:val="en-GB"/>
        </w:rPr>
      </w:pPr>
      <w:r w:rsidRPr="00216069">
        <w:rPr>
          <w:rFonts w:asciiTheme="minorHAnsi" w:hAnsiTheme="minorHAnsi"/>
          <w:lang w:val="en-GB"/>
        </w:rPr>
        <w:t>The stability of omeprazole is influenced by the pH of the solution for injection, which is why no other solvent or quantity should be used for dilution</w:t>
      </w:r>
      <w:r w:rsidR="00BA10CD" w:rsidRPr="00216069">
        <w:rPr>
          <w:rFonts w:asciiTheme="minorHAnsi" w:hAnsiTheme="minorHAnsi"/>
          <w:lang w:val="en-GB"/>
        </w:rPr>
        <w:t xml:space="preserve"> before injection of the solution</w:t>
      </w:r>
      <w:r w:rsidRPr="00216069">
        <w:rPr>
          <w:rFonts w:asciiTheme="minorHAnsi" w:hAnsiTheme="minorHAnsi"/>
          <w:lang w:val="en-GB"/>
        </w:rPr>
        <w:t>.</w:t>
      </w:r>
    </w:p>
    <w:p w14:paraId="05EF6AF9" w14:textId="5FD671BE" w:rsidR="0057277C" w:rsidRPr="00216069" w:rsidRDefault="0057277C" w:rsidP="0057277C">
      <w:pPr>
        <w:spacing w:after="0" w:line="360" w:lineRule="auto"/>
        <w:ind w:left="426"/>
        <w:rPr>
          <w:rFonts w:asciiTheme="minorHAnsi" w:eastAsia="Times New Roman" w:hAnsiTheme="minorHAnsi"/>
          <w:lang w:val="en-GB"/>
        </w:rPr>
      </w:pPr>
      <w:r w:rsidRPr="00216069">
        <w:rPr>
          <w:rFonts w:asciiTheme="minorHAnsi" w:eastAsia="Times New Roman" w:hAnsiTheme="minorHAnsi"/>
          <w:lang w:val="en-GB"/>
        </w:rPr>
        <w:t xml:space="preserve">Use only clear, </w:t>
      </w:r>
      <w:r w:rsidR="00BA10CD" w:rsidRPr="00216069">
        <w:rPr>
          <w:rFonts w:asciiTheme="minorHAnsi" w:eastAsia="Times New Roman" w:hAnsiTheme="minorHAnsi"/>
          <w:lang w:val="en-GB"/>
        </w:rPr>
        <w:t>colourless</w:t>
      </w:r>
      <w:r w:rsidRPr="00216069">
        <w:rPr>
          <w:rFonts w:asciiTheme="minorHAnsi" w:eastAsia="Times New Roman" w:hAnsiTheme="minorHAnsi"/>
          <w:lang w:val="en-GB"/>
        </w:rPr>
        <w:t xml:space="preserve"> or very slightly yellow brown solutions.</w:t>
      </w:r>
      <w:r w:rsidR="00BA10CD" w:rsidRPr="00216069">
        <w:rPr>
          <w:rFonts w:asciiTheme="minorHAnsi" w:eastAsia="Times New Roman" w:hAnsiTheme="minorHAnsi"/>
          <w:lang w:val="en-GB"/>
        </w:rPr>
        <w:t xml:space="preserve"> Do not use when </w:t>
      </w:r>
      <w:r w:rsidR="003A67E9" w:rsidRPr="00216069">
        <w:rPr>
          <w:rFonts w:asciiTheme="minorHAnsi" w:eastAsia="Times New Roman" w:hAnsiTheme="minorHAnsi"/>
          <w:lang w:val="en-GB"/>
        </w:rPr>
        <w:t>the solution</w:t>
      </w:r>
      <w:r w:rsidR="00BA10CD" w:rsidRPr="00216069">
        <w:rPr>
          <w:rFonts w:asciiTheme="minorHAnsi" w:eastAsia="Times New Roman" w:hAnsiTheme="minorHAnsi"/>
          <w:lang w:val="en-GB"/>
        </w:rPr>
        <w:t xml:space="preserve"> presents a </w:t>
      </w:r>
      <w:bookmarkStart w:id="0" w:name="_GoBack"/>
      <w:bookmarkEnd w:id="0"/>
      <w:r w:rsidR="00BA10CD" w:rsidRPr="00216069">
        <w:rPr>
          <w:rFonts w:asciiTheme="minorHAnsi" w:eastAsia="Times New Roman" w:hAnsiTheme="minorHAnsi"/>
          <w:lang w:val="en-GB"/>
        </w:rPr>
        <w:t>brown colour.</w:t>
      </w:r>
    </w:p>
    <w:p w14:paraId="678E8491" w14:textId="77777777" w:rsidR="0057277C" w:rsidRPr="00216069" w:rsidRDefault="0057277C" w:rsidP="0057277C">
      <w:pPr>
        <w:spacing w:after="0" w:line="360" w:lineRule="auto"/>
        <w:ind w:left="426"/>
        <w:rPr>
          <w:rFonts w:asciiTheme="minorHAnsi" w:eastAsia="Times New Roman" w:hAnsiTheme="minorHAnsi"/>
          <w:b/>
          <w:lang w:val="en-GB"/>
        </w:rPr>
      </w:pPr>
      <w:r w:rsidRPr="00216069">
        <w:rPr>
          <w:rFonts w:asciiTheme="minorHAnsi" w:eastAsia="Times New Roman" w:hAnsiTheme="minorHAnsi"/>
          <w:b/>
          <w:lang w:val="en-GB"/>
        </w:rPr>
        <w:t>Preparation</w:t>
      </w:r>
    </w:p>
    <w:p w14:paraId="61808EF5" w14:textId="52248B03" w:rsidR="0057277C" w:rsidRPr="00216069" w:rsidRDefault="0057277C" w:rsidP="0057277C">
      <w:pPr>
        <w:spacing w:after="0" w:line="360" w:lineRule="auto"/>
        <w:ind w:left="426"/>
        <w:rPr>
          <w:rFonts w:asciiTheme="minorHAnsi" w:eastAsia="Times New Roman" w:hAnsiTheme="minorHAnsi"/>
          <w:b/>
          <w:lang w:val="en-GB"/>
        </w:rPr>
      </w:pPr>
      <w:r w:rsidRPr="00216069">
        <w:rPr>
          <w:rFonts w:asciiTheme="minorHAnsi" w:eastAsia="Times New Roman" w:hAnsiTheme="minorHAnsi"/>
          <w:b/>
          <w:lang w:val="en-GB"/>
        </w:rPr>
        <w:t>Note: Steps 1 to 5 should be performed immediately one after the other</w:t>
      </w:r>
    </w:p>
    <w:p w14:paraId="1BF93681" w14:textId="77777777" w:rsidR="0057277C" w:rsidRPr="00216069" w:rsidRDefault="0057277C" w:rsidP="0057277C">
      <w:pPr>
        <w:pStyle w:val="ListParagraph"/>
        <w:numPr>
          <w:ilvl w:val="0"/>
          <w:numId w:val="27"/>
        </w:numPr>
        <w:spacing w:after="0" w:line="360" w:lineRule="auto"/>
        <w:rPr>
          <w:rFonts w:asciiTheme="minorHAnsi" w:hAnsiTheme="minorHAnsi"/>
          <w:lang w:val="en-GB"/>
        </w:rPr>
      </w:pPr>
      <w:r w:rsidRPr="00216069">
        <w:rPr>
          <w:rFonts w:asciiTheme="minorHAnsi" w:hAnsiTheme="minorHAnsi"/>
          <w:lang w:val="en-GB"/>
        </w:rPr>
        <w:t>With a syringe take all the solvent from the ampoule (10 ml).</w:t>
      </w:r>
    </w:p>
    <w:p w14:paraId="42ACC31D" w14:textId="17AE4ED9" w:rsidR="0057277C" w:rsidRPr="00216069" w:rsidRDefault="0057277C" w:rsidP="0057277C">
      <w:pPr>
        <w:pStyle w:val="ListParagraph"/>
        <w:numPr>
          <w:ilvl w:val="0"/>
          <w:numId w:val="27"/>
        </w:numPr>
        <w:spacing w:after="0" w:line="360" w:lineRule="auto"/>
        <w:rPr>
          <w:rFonts w:asciiTheme="minorHAnsi" w:hAnsiTheme="minorHAnsi"/>
          <w:lang w:val="en-GB"/>
        </w:rPr>
      </w:pPr>
      <w:r w:rsidRPr="00216069">
        <w:rPr>
          <w:rFonts w:asciiTheme="minorHAnsi" w:hAnsiTheme="minorHAnsi"/>
          <w:lang w:val="en-GB"/>
        </w:rPr>
        <w:t xml:space="preserve">Add 5 ml of this solvent to the ampoule containing the </w:t>
      </w:r>
      <w:proofErr w:type="spellStart"/>
      <w:r w:rsidRPr="00216069">
        <w:rPr>
          <w:rFonts w:asciiTheme="minorHAnsi" w:hAnsiTheme="minorHAnsi"/>
          <w:lang w:val="en-GB"/>
        </w:rPr>
        <w:t>lyophili</w:t>
      </w:r>
      <w:r w:rsidR="00BA10CD" w:rsidRPr="00216069">
        <w:rPr>
          <w:rFonts w:asciiTheme="minorHAnsi" w:hAnsiTheme="minorHAnsi"/>
          <w:lang w:val="en-GB"/>
        </w:rPr>
        <w:t>s</w:t>
      </w:r>
      <w:r w:rsidRPr="00216069">
        <w:rPr>
          <w:rFonts w:asciiTheme="minorHAnsi" w:hAnsiTheme="minorHAnsi"/>
          <w:lang w:val="en-GB"/>
        </w:rPr>
        <w:t>ate</w:t>
      </w:r>
      <w:proofErr w:type="spellEnd"/>
      <w:r w:rsidRPr="00216069">
        <w:rPr>
          <w:rFonts w:asciiTheme="minorHAnsi" w:hAnsiTheme="minorHAnsi"/>
          <w:lang w:val="en-GB"/>
        </w:rPr>
        <w:t xml:space="preserve"> of omeprazole.</w:t>
      </w:r>
    </w:p>
    <w:p w14:paraId="78C5F79D" w14:textId="77777777" w:rsidR="0057277C" w:rsidRPr="00216069" w:rsidRDefault="0057277C" w:rsidP="0057277C">
      <w:pPr>
        <w:pStyle w:val="ListParagraph"/>
        <w:numPr>
          <w:ilvl w:val="0"/>
          <w:numId w:val="27"/>
        </w:numPr>
        <w:spacing w:after="0" w:line="360" w:lineRule="auto"/>
        <w:rPr>
          <w:rFonts w:asciiTheme="minorHAnsi" w:hAnsiTheme="minorHAnsi"/>
          <w:lang w:val="en-GB"/>
        </w:rPr>
      </w:pPr>
      <w:r w:rsidRPr="00216069">
        <w:rPr>
          <w:rFonts w:asciiTheme="minorHAnsi" w:hAnsiTheme="minorHAnsi"/>
          <w:lang w:val="en-GB"/>
        </w:rPr>
        <w:t>Remove air from the ampoule as much as possible with the syringe to facilitate the addition of the remaining solvent.</w:t>
      </w:r>
    </w:p>
    <w:p w14:paraId="5DB93832" w14:textId="77777777" w:rsidR="0057277C" w:rsidRPr="00216069" w:rsidRDefault="0057277C" w:rsidP="0057277C">
      <w:pPr>
        <w:pStyle w:val="ListParagraph"/>
        <w:numPr>
          <w:ilvl w:val="0"/>
          <w:numId w:val="27"/>
        </w:numPr>
        <w:spacing w:after="0" w:line="360" w:lineRule="auto"/>
        <w:rPr>
          <w:rFonts w:asciiTheme="minorHAnsi" w:hAnsiTheme="minorHAnsi"/>
          <w:lang w:val="en-GB"/>
        </w:rPr>
      </w:pPr>
      <w:r w:rsidRPr="00216069">
        <w:rPr>
          <w:rFonts w:asciiTheme="minorHAnsi" w:hAnsiTheme="minorHAnsi"/>
          <w:lang w:val="en-GB"/>
        </w:rPr>
        <w:t>Add the remaining solvent into the ampoule making sure the syringe is empty.</w:t>
      </w:r>
    </w:p>
    <w:p w14:paraId="25ADC13D" w14:textId="2EC7EA83" w:rsidR="0057277C" w:rsidRPr="00216069" w:rsidRDefault="0057277C" w:rsidP="0057277C">
      <w:pPr>
        <w:pStyle w:val="ListParagraph"/>
        <w:numPr>
          <w:ilvl w:val="0"/>
          <w:numId w:val="27"/>
        </w:numPr>
        <w:spacing w:after="0" w:line="360" w:lineRule="auto"/>
        <w:rPr>
          <w:rFonts w:asciiTheme="minorHAnsi" w:hAnsiTheme="minorHAnsi"/>
          <w:lang w:val="en-GB"/>
        </w:rPr>
      </w:pPr>
      <w:r w:rsidRPr="00216069">
        <w:rPr>
          <w:rFonts w:asciiTheme="minorHAnsi" w:hAnsiTheme="minorHAnsi"/>
          <w:lang w:val="en-GB"/>
        </w:rPr>
        <w:t xml:space="preserve">Stir and shake the ampoule to ensure that the </w:t>
      </w:r>
      <w:proofErr w:type="spellStart"/>
      <w:r w:rsidRPr="00216069">
        <w:rPr>
          <w:rFonts w:asciiTheme="minorHAnsi" w:hAnsiTheme="minorHAnsi"/>
          <w:lang w:val="en-GB"/>
        </w:rPr>
        <w:t>lyophili</w:t>
      </w:r>
      <w:r w:rsidR="00BA10CD" w:rsidRPr="00216069">
        <w:rPr>
          <w:rFonts w:asciiTheme="minorHAnsi" w:hAnsiTheme="minorHAnsi"/>
          <w:lang w:val="en-GB"/>
        </w:rPr>
        <w:t>s</w:t>
      </w:r>
      <w:r w:rsidRPr="00216069">
        <w:rPr>
          <w:rFonts w:asciiTheme="minorHAnsi" w:hAnsiTheme="minorHAnsi"/>
          <w:lang w:val="en-GB"/>
        </w:rPr>
        <w:t>ate</w:t>
      </w:r>
      <w:proofErr w:type="spellEnd"/>
      <w:r w:rsidRPr="00216069">
        <w:rPr>
          <w:rFonts w:asciiTheme="minorHAnsi" w:hAnsiTheme="minorHAnsi"/>
          <w:lang w:val="en-GB"/>
        </w:rPr>
        <w:t xml:space="preserve"> of omeprazole is dissolved.</w:t>
      </w:r>
    </w:p>
    <w:p w14:paraId="57758241" w14:textId="638AFDFC" w:rsidR="0057277C" w:rsidRPr="00216069" w:rsidRDefault="0057277C" w:rsidP="00BA10CD">
      <w:pPr>
        <w:spacing w:after="0" w:line="360" w:lineRule="auto"/>
        <w:ind w:left="360"/>
        <w:rPr>
          <w:rFonts w:asciiTheme="minorHAnsi" w:hAnsiTheme="minorHAnsi"/>
          <w:lang w:val="en-GB"/>
        </w:rPr>
      </w:pPr>
      <w:r w:rsidRPr="00216069">
        <w:rPr>
          <w:rFonts w:asciiTheme="minorHAnsi" w:hAnsiTheme="minorHAnsi"/>
          <w:lang w:val="en-GB"/>
        </w:rPr>
        <w:t>After reconstitution, the injection should be administered slowly over at least 2 minutes with a maximum flow rate of 4 ml per minute.</w:t>
      </w:r>
    </w:p>
    <w:p w14:paraId="0DAF30F0" w14:textId="77777777" w:rsidR="00093DFF" w:rsidRPr="00216069" w:rsidRDefault="00093DFF" w:rsidP="00BA10CD">
      <w:pPr>
        <w:spacing w:after="0" w:line="360" w:lineRule="auto"/>
        <w:ind w:left="360"/>
        <w:rPr>
          <w:rFonts w:asciiTheme="minorHAnsi" w:hAnsiTheme="minorHAnsi"/>
          <w:bCs/>
          <w:lang w:val="en-GB"/>
        </w:rPr>
      </w:pPr>
    </w:p>
    <w:p w14:paraId="663E9286" w14:textId="14F52E13" w:rsidR="00093DFF" w:rsidRPr="00216069" w:rsidRDefault="00093DFF" w:rsidP="00BA10CD">
      <w:pPr>
        <w:spacing w:after="0" w:line="360" w:lineRule="auto"/>
        <w:ind w:left="360"/>
        <w:rPr>
          <w:rFonts w:asciiTheme="minorHAnsi" w:hAnsiTheme="minorHAnsi"/>
          <w:bCs/>
          <w:lang w:val="en-GB"/>
        </w:rPr>
      </w:pPr>
      <w:r w:rsidRPr="00216069">
        <w:rPr>
          <w:rFonts w:asciiTheme="minorHAnsi" w:hAnsiTheme="minorHAnsi"/>
          <w:bCs/>
          <w:lang w:val="en-GB"/>
        </w:rPr>
        <w:t>No special requirements for disposal.</w:t>
      </w:r>
    </w:p>
    <w:p w14:paraId="1CF53BF0" w14:textId="07092009" w:rsidR="00093DFF" w:rsidRPr="00216069" w:rsidRDefault="00093DFF" w:rsidP="00BA10CD">
      <w:pPr>
        <w:spacing w:after="0" w:line="360" w:lineRule="auto"/>
        <w:ind w:left="360"/>
        <w:rPr>
          <w:rFonts w:asciiTheme="minorHAnsi" w:hAnsiTheme="minorHAnsi"/>
          <w:bCs/>
          <w:lang w:val="en-GB"/>
        </w:rPr>
      </w:pPr>
    </w:p>
    <w:p w14:paraId="041EB571" w14:textId="77777777" w:rsidR="00093DFF" w:rsidRPr="00216069" w:rsidRDefault="00093DFF" w:rsidP="00BA10CD">
      <w:pPr>
        <w:spacing w:after="0" w:line="360" w:lineRule="auto"/>
        <w:ind w:left="360"/>
        <w:rPr>
          <w:rFonts w:asciiTheme="minorHAnsi" w:hAnsiTheme="minorHAnsi"/>
          <w:lang w:val="en-GB"/>
        </w:rPr>
      </w:pPr>
    </w:p>
    <w:p w14:paraId="51AE2ACC" w14:textId="721F2537" w:rsidR="00BA10CD" w:rsidRPr="00216069" w:rsidRDefault="00BA10CD" w:rsidP="00BA10CD">
      <w:pPr>
        <w:pStyle w:val="ListParagraph"/>
        <w:numPr>
          <w:ilvl w:val="0"/>
          <w:numId w:val="28"/>
        </w:numPr>
        <w:spacing w:after="0" w:line="360" w:lineRule="auto"/>
        <w:rPr>
          <w:rFonts w:asciiTheme="minorHAnsi" w:hAnsiTheme="minorHAnsi"/>
          <w:b/>
          <w:bCs/>
          <w:lang w:val="en-GB"/>
        </w:rPr>
      </w:pPr>
      <w:r w:rsidRPr="00216069">
        <w:rPr>
          <w:rFonts w:asciiTheme="minorHAnsi" w:hAnsiTheme="minorHAnsi"/>
          <w:b/>
          <w:bCs/>
          <w:lang w:val="en-GB"/>
        </w:rPr>
        <w:lastRenderedPageBreak/>
        <w:t>Note</w:t>
      </w:r>
    </w:p>
    <w:p w14:paraId="288EBAD6" w14:textId="215DA53B" w:rsidR="00BA10CD" w:rsidRPr="00216069" w:rsidRDefault="00BA10CD" w:rsidP="00BA10CD">
      <w:pPr>
        <w:pStyle w:val="ListParagraph"/>
        <w:spacing w:after="0" w:line="360" w:lineRule="auto"/>
        <w:rPr>
          <w:rFonts w:asciiTheme="minorHAnsi" w:hAnsiTheme="minorHAnsi" w:cstheme="minorHAnsi"/>
          <w:lang w:val="en-GB"/>
        </w:rPr>
      </w:pPr>
      <w:r w:rsidRPr="00216069">
        <w:rPr>
          <w:rFonts w:asciiTheme="minorHAnsi" w:hAnsiTheme="minorHAnsi" w:cstheme="minorHAnsi"/>
          <w:lang w:val="en-GB"/>
        </w:rPr>
        <w:t xml:space="preserve">For use in infusion fluids (sodium chloride </w:t>
      </w:r>
      <w:r w:rsidRPr="00216069">
        <w:rPr>
          <w:rFonts w:asciiTheme="minorHAnsi" w:hAnsiTheme="minorHAnsi" w:cstheme="minorHAnsi"/>
          <w:kern w:val="0"/>
          <w:lang w:val="en-GB" w:eastAsia="nl-BE"/>
        </w:rPr>
        <w:t>9 mg/ml (0.9%)</w:t>
      </w:r>
      <w:r w:rsidRPr="00216069">
        <w:rPr>
          <w:rFonts w:asciiTheme="minorHAnsi" w:hAnsiTheme="minorHAnsi" w:cstheme="minorHAnsi"/>
          <w:lang w:val="en-GB" w:eastAsia="nl-BE"/>
        </w:rPr>
        <w:t xml:space="preserve"> or glucose solution 50 mg/ml (5%</w:t>
      </w:r>
      <w:proofErr w:type="gramStart"/>
      <w:r w:rsidRPr="00216069">
        <w:rPr>
          <w:rFonts w:asciiTheme="minorHAnsi" w:hAnsiTheme="minorHAnsi" w:cstheme="minorHAnsi"/>
          <w:lang w:val="en-GB" w:eastAsia="nl-BE"/>
        </w:rPr>
        <w:t xml:space="preserve">) </w:t>
      </w:r>
      <w:r w:rsidR="00093DFF" w:rsidRPr="00216069">
        <w:rPr>
          <w:rFonts w:asciiTheme="minorHAnsi" w:hAnsiTheme="minorHAnsi" w:cstheme="minorHAnsi"/>
          <w:lang w:val="en-GB" w:eastAsia="nl-BE"/>
        </w:rPr>
        <w:t>,</w:t>
      </w:r>
      <w:proofErr w:type="gramEnd"/>
      <w:r w:rsidR="00093DFF" w:rsidRPr="00216069">
        <w:rPr>
          <w:rFonts w:asciiTheme="minorHAnsi" w:hAnsiTheme="minorHAnsi" w:cstheme="minorHAnsi"/>
          <w:lang w:val="en-GB" w:eastAsia="nl-BE"/>
        </w:rPr>
        <w:t xml:space="preserve"> t</w:t>
      </w:r>
      <w:r w:rsidR="006D33A1" w:rsidRPr="00216069">
        <w:rPr>
          <w:rFonts w:asciiTheme="minorHAnsi" w:hAnsiTheme="minorHAnsi" w:cstheme="minorHAnsi"/>
          <w:lang w:val="en-GB" w:eastAsia="nl-BE"/>
        </w:rPr>
        <w:t>he preparation , use,</w:t>
      </w:r>
      <w:r w:rsidRPr="00216069">
        <w:rPr>
          <w:rFonts w:asciiTheme="minorHAnsi" w:hAnsiTheme="minorHAnsi" w:cstheme="minorHAnsi"/>
          <w:lang w:val="en-GB" w:eastAsia="nl-BE"/>
        </w:rPr>
        <w:t xml:space="preserve"> duration and storage conditions during use are the responsibility of the </w:t>
      </w:r>
      <w:r w:rsidR="006D33A1" w:rsidRPr="00216069">
        <w:rPr>
          <w:rFonts w:asciiTheme="minorHAnsi" w:hAnsiTheme="minorHAnsi" w:cstheme="minorHAnsi"/>
          <w:lang w:val="en-GB" w:eastAsia="nl-BE"/>
        </w:rPr>
        <w:t>health care professional/user.</w:t>
      </w:r>
    </w:p>
    <w:p w14:paraId="4EEB6FB1" w14:textId="77777777" w:rsidR="00BA10CD" w:rsidRPr="00216069" w:rsidRDefault="00BA10CD" w:rsidP="00BA10CD">
      <w:pPr>
        <w:pStyle w:val="ListParagraph"/>
        <w:spacing w:after="0" w:line="360" w:lineRule="auto"/>
        <w:rPr>
          <w:rFonts w:asciiTheme="minorHAnsi" w:hAnsiTheme="minorHAnsi"/>
          <w:lang w:val="en-GB"/>
        </w:rPr>
      </w:pPr>
    </w:p>
    <w:p w14:paraId="39F6BE6A" w14:textId="77777777" w:rsidR="00AE30FE" w:rsidRPr="00216069" w:rsidRDefault="009B0007" w:rsidP="0057277C">
      <w:pPr>
        <w:spacing w:after="0" w:line="360" w:lineRule="auto"/>
        <w:rPr>
          <w:rFonts w:asciiTheme="minorHAnsi" w:hAnsiTheme="minorHAnsi"/>
          <w:b/>
          <w:lang w:val="en-GB"/>
        </w:rPr>
      </w:pPr>
      <w:r w:rsidRPr="00216069">
        <w:rPr>
          <w:rFonts w:asciiTheme="minorHAnsi" w:hAnsiTheme="minorHAnsi"/>
          <w:b/>
          <w:lang w:val="en-GB"/>
        </w:rPr>
        <w:t xml:space="preserve">7- </w:t>
      </w:r>
      <w:r w:rsidR="00AE30FE" w:rsidRPr="00216069">
        <w:rPr>
          <w:rFonts w:asciiTheme="minorHAnsi" w:hAnsiTheme="minorHAnsi"/>
          <w:b/>
          <w:lang w:val="en-GB"/>
        </w:rPr>
        <w:t>MARKETING AUTHORISATION HOLDER AND MANUFACURING SITE ADDRESS</w:t>
      </w:r>
    </w:p>
    <w:p w14:paraId="49F3ABDE" w14:textId="77777777" w:rsidR="002B3DDF"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7.1 </w:t>
      </w:r>
      <w:r w:rsidR="002B3DDF" w:rsidRPr="00216069">
        <w:rPr>
          <w:rFonts w:asciiTheme="minorHAnsi" w:hAnsiTheme="minorHAnsi"/>
          <w:b/>
          <w:lang w:val="en-GB"/>
        </w:rPr>
        <w:t>Marketing Authorisation Holder</w:t>
      </w:r>
      <w:r w:rsidR="00621FA6" w:rsidRPr="00216069">
        <w:rPr>
          <w:rFonts w:asciiTheme="minorHAnsi" w:hAnsiTheme="minorHAnsi"/>
          <w:b/>
          <w:lang w:val="en-GB"/>
        </w:rPr>
        <w:t xml:space="preserve">; </w:t>
      </w:r>
    </w:p>
    <w:p w14:paraId="241548CE" w14:textId="3342088E" w:rsidR="002B3DDF" w:rsidRPr="00216069" w:rsidRDefault="00621FA6" w:rsidP="006E5361">
      <w:pPr>
        <w:suppressAutoHyphens/>
        <w:spacing w:after="0" w:line="360" w:lineRule="auto"/>
        <w:ind w:left="567"/>
        <w:rPr>
          <w:rFonts w:asciiTheme="minorHAnsi" w:hAnsiTheme="minorHAnsi"/>
          <w:lang w:val="en-GB"/>
        </w:rPr>
      </w:pPr>
      <w:proofErr w:type="spellStart"/>
      <w:r w:rsidRPr="00216069">
        <w:rPr>
          <w:rFonts w:asciiTheme="minorHAnsi" w:hAnsiTheme="minorHAnsi"/>
          <w:lang w:val="en-GB"/>
        </w:rPr>
        <w:t>Dafra</w:t>
      </w:r>
      <w:proofErr w:type="spellEnd"/>
      <w:r w:rsidRPr="00216069">
        <w:rPr>
          <w:rFonts w:asciiTheme="minorHAnsi" w:hAnsiTheme="minorHAnsi"/>
          <w:lang w:val="en-GB"/>
        </w:rPr>
        <w:t xml:space="preserve"> Pharma GmbH</w:t>
      </w:r>
      <w:proofErr w:type="gramStart"/>
      <w:r w:rsidRPr="00216069">
        <w:rPr>
          <w:rFonts w:asciiTheme="minorHAnsi" w:hAnsiTheme="minorHAnsi"/>
          <w:lang w:val="en-GB"/>
        </w:rPr>
        <w:t xml:space="preserve">,  </w:t>
      </w:r>
      <w:proofErr w:type="spellStart"/>
      <w:r w:rsidRPr="00216069">
        <w:rPr>
          <w:rFonts w:asciiTheme="minorHAnsi" w:hAnsiTheme="minorHAnsi"/>
          <w:lang w:val="en-GB"/>
        </w:rPr>
        <w:t>Mühlenberg</w:t>
      </w:r>
      <w:proofErr w:type="spellEnd"/>
      <w:proofErr w:type="gramEnd"/>
      <w:r w:rsidRPr="00216069">
        <w:rPr>
          <w:rFonts w:asciiTheme="minorHAnsi" w:hAnsiTheme="minorHAnsi"/>
          <w:lang w:val="en-GB"/>
        </w:rPr>
        <w:t xml:space="preserve"> 7, 4052 B</w:t>
      </w:r>
      <w:r w:rsidR="00040B3A" w:rsidRPr="00216069">
        <w:rPr>
          <w:rFonts w:asciiTheme="minorHAnsi" w:hAnsiTheme="minorHAnsi"/>
          <w:lang w:val="en-GB"/>
        </w:rPr>
        <w:t>asel, Switzerland</w:t>
      </w:r>
      <w:r w:rsidRPr="00216069">
        <w:rPr>
          <w:rFonts w:asciiTheme="minorHAnsi" w:hAnsiTheme="minorHAnsi"/>
          <w:lang w:val="en-GB"/>
        </w:rPr>
        <w:t>.</w:t>
      </w:r>
    </w:p>
    <w:p w14:paraId="5F96C28D" w14:textId="77777777" w:rsidR="002B3DDF"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7.2</w:t>
      </w:r>
      <w:r w:rsidR="001178BF" w:rsidRPr="00216069">
        <w:rPr>
          <w:rFonts w:asciiTheme="minorHAnsi" w:hAnsiTheme="minorHAnsi"/>
          <w:b/>
          <w:lang w:val="en-GB"/>
        </w:rPr>
        <w:t xml:space="preserve"> </w:t>
      </w:r>
      <w:r w:rsidR="002B3DDF" w:rsidRPr="00216069">
        <w:rPr>
          <w:rFonts w:asciiTheme="minorHAnsi" w:hAnsiTheme="minorHAnsi"/>
          <w:b/>
          <w:lang w:val="en-GB"/>
        </w:rPr>
        <w:t>Manufacturer</w:t>
      </w:r>
    </w:p>
    <w:p w14:paraId="35B29282" w14:textId="3E7C2E22" w:rsidR="0057277C" w:rsidRPr="00216069" w:rsidRDefault="0057277C" w:rsidP="0057277C">
      <w:pPr>
        <w:pStyle w:val="ListParagraph"/>
        <w:spacing w:line="360" w:lineRule="auto"/>
        <w:ind w:left="567"/>
        <w:rPr>
          <w:rFonts w:asciiTheme="minorHAnsi" w:hAnsiTheme="minorHAnsi" w:cs="Calibri"/>
          <w:bCs/>
          <w:lang w:val="en-GB"/>
        </w:rPr>
      </w:pPr>
      <w:proofErr w:type="spellStart"/>
      <w:r w:rsidRPr="00216069">
        <w:rPr>
          <w:rFonts w:asciiTheme="minorHAnsi" w:hAnsiTheme="minorHAnsi" w:cs="Calibri"/>
          <w:bCs/>
          <w:lang w:val="en-GB"/>
        </w:rPr>
        <w:t>Anfarm</w:t>
      </w:r>
      <w:proofErr w:type="spellEnd"/>
      <w:r w:rsidRPr="00216069">
        <w:rPr>
          <w:rFonts w:asciiTheme="minorHAnsi" w:hAnsiTheme="minorHAnsi" w:cs="Calibri"/>
          <w:bCs/>
          <w:lang w:val="en-GB"/>
        </w:rPr>
        <w:t xml:space="preserve"> Hellas S.A., 61st km. Nat. Rd. Ath</w:t>
      </w:r>
      <w:r w:rsidR="00040B3A" w:rsidRPr="00216069">
        <w:rPr>
          <w:rFonts w:asciiTheme="minorHAnsi" w:hAnsiTheme="minorHAnsi" w:cs="Calibri"/>
          <w:bCs/>
          <w:lang w:val="en-GB"/>
        </w:rPr>
        <w:t>ens</w:t>
      </w:r>
      <w:r w:rsidRPr="00216069">
        <w:rPr>
          <w:rFonts w:asciiTheme="minorHAnsi" w:hAnsiTheme="minorHAnsi" w:cs="Calibri"/>
          <w:bCs/>
          <w:lang w:val="en-GB"/>
        </w:rPr>
        <w:t xml:space="preserve">, </w:t>
      </w:r>
      <w:proofErr w:type="spellStart"/>
      <w:r w:rsidRPr="00216069">
        <w:rPr>
          <w:rFonts w:asciiTheme="minorHAnsi" w:hAnsiTheme="minorHAnsi" w:cs="Calibri"/>
          <w:bCs/>
          <w:lang w:val="en-GB"/>
        </w:rPr>
        <w:t>Lamia</w:t>
      </w:r>
      <w:proofErr w:type="spellEnd"/>
      <w:r w:rsidRPr="00216069">
        <w:rPr>
          <w:rFonts w:asciiTheme="minorHAnsi" w:hAnsiTheme="minorHAnsi" w:cs="Calibri"/>
          <w:bCs/>
          <w:lang w:val="en-GB"/>
        </w:rPr>
        <w:t xml:space="preserve">, </w:t>
      </w:r>
      <w:proofErr w:type="spellStart"/>
      <w:r w:rsidRPr="00216069">
        <w:rPr>
          <w:rFonts w:asciiTheme="minorHAnsi" w:hAnsiTheme="minorHAnsi" w:cs="Calibri"/>
          <w:bCs/>
          <w:lang w:val="en-GB"/>
        </w:rPr>
        <w:t>Schimatari</w:t>
      </w:r>
      <w:proofErr w:type="spellEnd"/>
      <w:r w:rsidRPr="00216069">
        <w:rPr>
          <w:rFonts w:asciiTheme="minorHAnsi" w:hAnsiTheme="minorHAnsi" w:cs="Calibri"/>
          <w:bCs/>
          <w:lang w:val="en-GB"/>
        </w:rPr>
        <w:t xml:space="preserve"> </w:t>
      </w:r>
      <w:proofErr w:type="spellStart"/>
      <w:r w:rsidRPr="00216069">
        <w:rPr>
          <w:rFonts w:asciiTheme="minorHAnsi" w:hAnsiTheme="minorHAnsi" w:cs="Calibri"/>
          <w:bCs/>
          <w:lang w:val="en-GB"/>
        </w:rPr>
        <w:t>Viotias</w:t>
      </w:r>
      <w:proofErr w:type="spellEnd"/>
      <w:r w:rsidRPr="00216069">
        <w:rPr>
          <w:rFonts w:asciiTheme="minorHAnsi" w:hAnsiTheme="minorHAnsi" w:cs="Calibri"/>
          <w:bCs/>
          <w:lang w:val="en-GB"/>
        </w:rPr>
        <w:t>, 32009, Gr</w:t>
      </w:r>
      <w:r w:rsidR="00040B3A" w:rsidRPr="00216069">
        <w:rPr>
          <w:rFonts w:asciiTheme="minorHAnsi" w:hAnsiTheme="minorHAnsi" w:cs="Calibri"/>
          <w:bCs/>
          <w:lang w:val="en-GB"/>
        </w:rPr>
        <w:t>eece</w:t>
      </w:r>
      <w:r w:rsidRPr="00216069">
        <w:rPr>
          <w:rFonts w:asciiTheme="minorHAnsi" w:hAnsiTheme="minorHAnsi" w:cs="Calibri"/>
          <w:bCs/>
          <w:lang w:val="en-GB"/>
        </w:rPr>
        <w:t>.</w:t>
      </w:r>
    </w:p>
    <w:p w14:paraId="1EAB65A9" w14:textId="77777777" w:rsidR="00AE30FE"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8- </w:t>
      </w:r>
      <w:r w:rsidR="00AE30FE" w:rsidRPr="00216069">
        <w:rPr>
          <w:rFonts w:asciiTheme="minorHAnsi" w:hAnsiTheme="minorHAnsi"/>
          <w:b/>
          <w:lang w:val="en-GB"/>
        </w:rPr>
        <w:t>MARKETING AUHORISATION NUMBER</w:t>
      </w:r>
    </w:p>
    <w:p w14:paraId="3067D578" w14:textId="77777777" w:rsidR="00553871" w:rsidRPr="00216069" w:rsidRDefault="00553871" w:rsidP="006E5361">
      <w:pPr>
        <w:spacing w:after="0" w:line="360" w:lineRule="auto"/>
        <w:ind w:left="567"/>
        <w:rPr>
          <w:rFonts w:asciiTheme="minorHAnsi" w:hAnsiTheme="minorHAnsi"/>
          <w:lang w:val="en-GB"/>
        </w:rPr>
      </w:pPr>
      <w:r w:rsidRPr="00216069">
        <w:rPr>
          <w:rFonts w:asciiTheme="minorHAnsi" w:hAnsiTheme="minorHAnsi"/>
          <w:lang w:val="en-GB"/>
        </w:rPr>
        <w:t>See list of MAs per country</w:t>
      </w:r>
    </w:p>
    <w:p w14:paraId="1A75249A" w14:textId="77777777" w:rsidR="00EA7F33"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9- </w:t>
      </w:r>
      <w:r w:rsidR="00EA7F33" w:rsidRPr="00216069">
        <w:rPr>
          <w:rFonts w:asciiTheme="minorHAnsi" w:hAnsiTheme="minorHAnsi"/>
          <w:b/>
          <w:lang w:val="en-GB"/>
        </w:rPr>
        <w:t xml:space="preserve">DATE OF FIRST REGISTRATION </w:t>
      </w:r>
    </w:p>
    <w:p w14:paraId="1B09F0C7" w14:textId="77777777" w:rsidR="00553871" w:rsidRPr="00216069" w:rsidRDefault="00553871" w:rsidP="006E5361">
      <w:pPr>
        <w:spacing w:after="0" w:line="360" w:lineRule="auto"/>
        <w:ind w:left="567"/>
        <w:rPr>
          <w:rFonts w:asciiTheme="minorHAnsi" w:hAnsiTheme="minorHAnsi"/>
          <w:lang w:val="en-GB"/>
        </w:rPr>
      </w:pPr>
      <w:r w:rsidRPr="00216069">
        <w:rPr>
          <w:rFonts w:asciiTheme="minorHAnsi" w:hAnsiTheme="minorHAnsi"/>
          <w:lang w:val="en-GB"/>
        </w:rPr>
        <w:t>See list of MAs per country</w:t>
      </w:r>
    </w:p>
    <w:p w14:paraId="6766CB0C" w14:textId="77777777" w:rsidR="00EA7F33" w:rsidRPr="00216069" w:rsidRDefault="009B0007" w:rsidP="006E5361">
      <w:pPr>
        <w:spacing w:after="0" w:line="360" w:lineRule="auto"/>
        <w:rPr>
          <w:rFonts w:asciiTheme="minorHAnsi" w:hAnsiTheme="minorHAnsi"/>
          <w:b/>
          <w:lang w:val="en-GB"/>
        </w:rPr>
      </w:pPr>
      <w:r w:rsidRPr="00216069">
        <w:rPr>
          <w:rFonts w:asciiTheme="minorHAnsi" w:hAnsiTheme="minorHAnsi"/>
          <w:b/>
          <w:lang w:val="en-GB"/>
        </w:rPr>
        <w:t xml:space="preserve">10- </w:t>
      </w:r>
      <w:r w:rsidR="00EA7F33" w:rsidRPr="00216069">
        <w:rPr>
          <w:rFonts w:asciiTheme="minorHAnsi" w:hAnsiTheme="minorHAnsi"/>
          <w:b/>
          <w:lang w:val="en-GB"/>
        </w:rPr>
        <w:t>DATE OF REVISION OF TEXT</w:t>
      </w:r>
    </w:p>
    <w:p w14:paraId="6D887382" w14:textId="3EBE2389" w:rsidR="002B3DDF" w:rsidRPr="00216069" w:rsidRDefault="00485272" w:rsidP="006E5361">
      <w:pPr>
        <w:pStyle w:val="ListParagraph"/>
        <w:spacing w:after="0" w:line="360" w:lineRule="auto"/>
        <w:ind w:left="567"/>
        <w:rPr>
          <w:rFonts w:asciiTheme="minorHAnsi" w:hAnsiTheme="minorHAnsi"/>
          <w:lang w:val="en-GB"/>
        </w:rPr>
      </w:pPr>
      <w:r w:rsidRPr="00216069">
        <w:rPr>
          <w:rFonts w:asciiTheme="minorHAnsi" w:hAnsiTheme="minorHAnsi"/>
          <w:lang w:val="en-GB"/>
        </w:rPr>
        <w:t>January 2020</w:t>
      </w:r>
    </w:p>
    <w:sectPr w:rsidR="002B3DDF" w:rsidRPr="00216069" w:rsidSect="00CA5050">
      <w:headerReference w:type="default" r:id="rId7"/>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C37C2" w14:textId="77777777" w:rsidR="00AC324E" w:rsidRDefault="00AC324E" w:rsidP="000A2791">
      <w:pPr>
        <w:spacing w:after="0" w:line="240" w:lineRule="auto"/>
      </w:pPr>
      <w:r>
        <w:separator/>
      </w:r>
    </w:p>
  </w:endnote>
  <w:endnote w:type="continuationSeparator" w:id="0">
    <w:p w14:paraId="38E29CAE" w14:textId="77777777" w:rsidR="00AC324E" w:rsidRDefault="00AC324E"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C05C" w14:textId="0F2A8C53" w:rsidR="002E6432" w:rsidRPr="008B1E32" w:rsidRDefault="005413F6" w:rsidP="00FD40F1">
    <w:pPr>
      <w:pStyle w:val="Footer"/>
      <w:rPr>
        <w:rFonts w:asciiTheme="minorHAnsi" w:hAnsiTheme="minorHAnsi" w:cstheme="minorHAnsi"/>
        <w:sz w:val="22"/>
        <w:szCs w:val="22"/>
        <w:lang w:val="nl-NL"/>
      </w:rPr>
    </w:pPr>
    <w:r>
      <w:rPr>
        <w:lang w:val="nl-NL"/>
      </w:rPr>
      <w:t xml:space="preserve">DP </w:t>
    </w:r>
    <w:r w:rsidRPr="00216069">
      <w:rPr>
        <w:lang w:val="en-GB"/>
      </w:rPr>
      <w:t>January 2020</w:t>
    </w:r>
    <w:r w:rsidR="002E6432" w:rsidRPr="00216069">
      <w:rPr>
        <w:rFonts w:asciiTheme="minorHAnsi" w:hAnsiTheme="minorHAnsi" w:cstheme="minorHAnsi"/>
        <w:sz w:val="22"/>
        <w:szCs w:val="22"/>
        <w:lang w:val="en-GB"/>
      </w:rPr>
      <w:ptab w:relativeTo="margin" w:alignment="center" w:leader="none"/>
    </w:r>
    <w:r w:rsidR="002E6432" w:rsidRPr="00216069">
      <w:rPr>
        <w:rFonts w:asciiTheme="minorHAnsi" w:hAnsiTheme="minorHAnsi" w:cstheme="minorHAnsi"/>
        <w:sz w:val="22"/>
        <w:szCs w:val="22"/>
        <w:lang w:val="en-GB"/>
      </w:rPr>
      <w:ptab w:relativeTo="margin" w:alignment="right" w:leader="none"/>
    </w:r>
    <w:r w:rsidR="002E6432" w:rsidRPr="00216069">
      <w:rPr>
        <w:rFonts w:asciiTheme="minorHAnsi" w:hAnsiTheme="minorHAnsi" w:cstheme="minorHAnsi"/>
        <w:sz w:val="22"/>
        <w:szCs w:val="22"/>
        <w:lang w:val="en-GB"/>
      </w:rPr>
      <w:t>Page</w:t>
    </w:r>
    <w:r w:rsidR="002E6432" w:rsidRPr="008B1E32">
      <w:rPr>
        <w:rFonts w:asciiTheme="minorHAnsi" w:hAnsiTheme="minorHAnsi" w:cstheme="minorHAnsi"/>
        <w:sz w:val="22"/>
        <w:szCs w:val="22"/>
        <w:lang w:val="nl-NL"/>
      </w:rPr>
      <w:t xml:space="preserve"> </w:t>
    </w:r>
    <w:r w:rsidR="002E6432" w:rsidRPr="008B1E32">
      <w:rPr>
        <w:rFonts w:asciiTheme="minorHAnsi" w:hAnsiTheme="minorHAnsi" w:cstheme="minorHAnsi"/>
        <w:b/>
        <w:sz w:val="22"/>
        <w:szCs w:val="22"/>
        <w:lang w:val="nl-NL"/>
      </w:rPr>
      <w:fldChar w:fldCharType="begin"/>
    </w:r>
    <w:r w:rsidR="002E6432" w:rsidRPr="008B1E32">
      <w:rPr>
        <w:rFonts w:asciiTheme="minorHAnsi" w:hAnsiTheme="minorHAnsi" w:cstheme="minorHAnsi"/>
        <w:b/>
        <w:sz w:val="22"/>
        <w:szCs w:val="22"/>
        <w:lang w:val="nl-NL"/>
      </w:rPr>
      <w:instrText>PAGE  \* Arabic  \* MERGEFORMAT</w:instrText>
    </w:r>
    <w:r w:rsidR="002E6432" w:rsidRPr="008B1E32">
      <w:rPr>
        <w:rFonts w:asciiTheme="minorHAnsi" w:hAnsiTheme="minorHAnsi" w:cstheme="minorHAnsi"/>
        <w:b/>
        <w:sz w:val="22"/>
        <w:szCs w:val="22"/>
        <w:lang w:val="nl-NL"/>
      </w:rPr>
      <w:fldChar w:fldCharType="separate"/>
    </w:r>
    <w:r w:rsidR="003A67E9">
      <w:rPr>
        <w:rFonts w:asciiTheme="minorHAnsi" w:hAnsiTheme="minorHAnsi" w:cstheme="minorHAnsi"/>
        <w:b/>
        <w:noProof/>
        <w:sz w:val="22"/>
        <w:szCs w:val="22"/>
        <w:lang w:val="nl-NL"/>
      </w:rPr>
      <w:t>18</w:t>
    </w:r>
    <w:r w:rsidR="002E6432" w:rsidRPr="008B1E32">
      <w:rPr>
        <w:rFonts w:asciiTheme="minorHAnsi" w:hAnsiTheme="minorHAnsi" w:cstheme="minorHAnsi"/>
        <w:b/>
        <w:sz w:val="22"/>
        <w:szCs w:val="22"/>
        <w:lang w:val="nl-NL"/>
      </w:rPr>
      <w:fldChar w:fldCharType="end"/>
    </w:r>
    <w:r w:rsidR="002E6432" w:rsidRPr="008B1E32">
      <w:rPr>
        <w:rFonts w:asciiTheme="minorHAnsi" w:hAnsiTheme="minorHAnsi" w:cstheme="minorHAnsi"/>
        <w:sz w:val="22"/>
        <w:szCs w:val="22"/>
        <w:lang w:val="nl-NL"/>
      </w:rPr>
      <w:t xml:space="preserve"> of </w:t>
    </w:r>
    <w:r w:rsidR="002E6432" w:rsidRPr="008B1E32">
      <w:rPr>
        <w:rFonts w:asciiTheme="minorHAnsi" w:hAnsiTheme="minorHAnsi" w:cstheme="minorHAnsi"/>
        <w:b/>
        <w:sz w:val="22"/>
        <w:szCs w:val="22"/>
        <w:lang w:val="nl-NL"/>
      </w:rPr>
      <w:fldChar w:fldCharType="begin"/>
    </w:r>
    <w:r w:rsidR="002E6432" w:rsidRPr="008B1E32">
      <w:rPr>
        <w:rFonts w:asciiTheme="minorHAnsi" w:hAnsiTheme="minorHAnsi" w:cstheme="minorHAnsi"/>
        <w:b/>
        <w:sz w:val="22"/>
        <w:szCs w:val="22"/>
        <w:lang w:val="nl-NL"/>
      </w:rPr>
      <w:instrText>NUMPAGES  \* Arabic  \* MERGEFORMAT</w:instrText>
    </w:r>
    <w:r w:rsidR="002E6432" w:rsidRPr="008B1E32">
      <w:rPr>
        <w:rFonts w:asciiTheme="minorHAnsi" w:hAnsiTheme="minorHAnsi" w:cstheme="minorHAnsi"/>
        <w:b/>
        <w:sz w:val="22"/>
        <w:szCs w:val="22"/>
        <w:lang w:val="nl-NL"/>
      </w:rPr>
      <w:fldChar w:fldCharType="separate"/>
    </w:r>
    <w:r w:rsidR="003A67E9">
      <w:rPr>
        <w:rFonts w:asciiTheme="minorHAnsi" w:hAnsiTheme="minorHAnsi" w:cstheme="minorHAnsi"/>
        <w:b/>
        <w:noProof/>
        <w:sz w:val="22"/>
        <w:szCs w:val="22"/>
        <w:lang w:val="nl-NL"/>
      </w:rPr>
      <w:t>18</w:t>
    </w:r>
    <w:r w:rsidR="002E6432" w:rsidRPr="008B1E32">
      <w:rPr>
        <w:rFonts w:asciiTheme="minorHAnsi" w:hAnsiTheme="minorHAnsi" w:cstheme="minorHAnsi"/>
        <w:b/>
        <w:sz w:val="22"/>
        <w:szCs w:val="22"/>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C1F2A" w14:textId="77777777" w:rsidR="00AC324E" w:rsidRDefault="00AC324E" w:rsidP="000A2791">
      <w:pPr>
        <w:spacing w:after="0" w:line="240" w:lineRule="auto"/>
      </w:pPr>
      <w:r>
        <w:separator/>
      </w:r>
    </w:p>
  </w:footnote>
  <w:footnote w:type="continuationSeparator" w:id="0">
    <w:p w14:paraId="1DF1A457" w14:textId="77777777" w:rsidR="00AC324E" w:rsidRDefault="00AC324E" w:rsidP="000A2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AEAF" w14:textId="77777777" w:rsidR="002E6432" w:rsidRPr="00FD40F1" w:rsidRDefault="002E6432" w:rsidP="008B1E32">
    <w:pPr>
      <w:pStyle w:val="Header"/>
      <w:rPr>
        <w:rFonts w:asciiTheme="minorHAnsi" w:hAnsiTheme="minorHAnsi" w:cstheme="minorHAnsi"/>
        <w:sz w:val="22"/>
        <w:szCs w:val="22"/>
      </w:rPr>
    </w:pPr>
    <w:proofErr w:type="spellStart"/>
    <w:r w:rsidRPr="00FD40F1">
      <w:rPr>
        <w:rFonts w:asciiTheme="minorHAnsi" w:hAnsiTheme="minorHAnsi" w:cstheme="minorHAnsi"/>
        <w:sz w:val="22"/>
        <w:szCs w:val="22"/>
      </w:rPr>
      <w:t>Dafra</w:t>
    </w:r>
    <w:proofErr w:type="spellEnd"/>
    <w:r w:rsidRPr="00FD40F1">
      <w:rPr>
        <w:rFonts w:asciiTheme="minorHAnsi" w:hAnsiTheme="minorHAnsi" w:cstheme="minorHAnsi"/>
        <w:sz w:val="22"/>
        <w:szCs w:val="22"/>
      </w:rPr>
      <w:t xml:space="preserve"> Pharma</w:t>
    </w:r>
    <w:r w:rsidRPr="00FD40F1">
      <w:rPr>
        <w:rFonts w:asciiTheme="minorHAnsi" w:hAnsiTheme="minorHAnsi" w:cstheme="minorHAnsi"/>
        <w:sz w:val="22"/>
        <w:szCs w:val="22"/>
      </w:rPr>
      <w:ptab w:relativeTo="margin" w:alignment="center" w:leader="none"/>
    </w:r>
    <w:proofErr w:type="spellStart"/>
    <w:r w:rsidRPr="00FD40F1">
      <w:rPr>
        <w:rFonts w:asciiTheme="minorHAnsi" w:hAnsiTheme="minorHAnsi" w:cstheme="minorHAnsi"/>
        <w:sz w:val="22"/>
        <w:szCs w:val="22"/>
      </w:rPr>
      <w:t>SmPC</w:t>
    </w:r>
    <w:proofErr w:type="spellEnd"/>
    <w:r w:rsidRPr="00FD40F1">
      <w:rPr>
        <w:rFonts w:asciiTheme="minorHAnsi" w:hAnsiTheme="minorHAnsi" w:cstheme="minorHAnsi"/>
        <w:sz w:val="22"/>
        <w:szCs w:val="22"/>
      </w:rPr>
      <w:ptab w:relativeTo="margin" w:alignment="right" w:leader="none"/>
    </w:r>
    <w:r>
      <w:rPr>
        <w:rFonts w:asciiTheme="minorHAnsi" w:hAnsiTheme="minorHAnsi" w:cstheme="minorHAnsi"/>
        <w:sz w:val="22"/>
        <w:szCs w:val="22"/>
      </w:rPr>
      <w:t xml:space="preserve">DAFRAZOL </w:t>
    </w:r>
    <w:r w:rsidR="006E5361">
      <w:rPr>
        <w:rFonts w:ascii="Arial" w:hAnsi="Arial" w:cs="Arial"/>
        <w:color w:val="000000"/>
        <w:sz w:val="19"/>
        <w:szCs w:val="19"/>
        <w:shd w:val="clear" w:color="auto" w:fill="FFFFFF"/>
      </w:rPr>
      <w:t>IV</w:t>
    </w:r>
  </w:p>
  <w:p w14:paraId="17626211" w14:textId="77777777" w:rsidR="002E6432" w:rsidRDefault="002E6432" w:rsidP="008B1E32">
    <w:pPr>
      <w:pStyle w:val="Header"/>
      <w:rPr>
        <w:rFonts w:asciiTheme="minorHAnsi" w:hAnsiTheme="minorHAnsi" w:cstheme="minorHAnsi"/>
        <w:sz w:val="22"/>
        <w:szCs w:val="22"/>
        <w:u w:val="single"/>
      </w:rPr>
    </w:pPr>
  </w:p>
  <w:p w14:paraId="3458EEA2" w14:textId="77777777" w:rsidR="002E6432" w:rsidRPr="008B1E32" w:rsidRDefault="002E6432" w:rsidP="008B1E32">
    <w:pPr>
      <w:pStyle w:val="Header"/>
      <w:rPr>
        <w:rFonts w:asciiTheme="minorHAnsi" w:hAnsiTheme="minorHAnsi" w:cstheme="minorHAnsi"/>
        <w:sz w:val="22"/>
        <w:szCs w:val="22"/>
        <w:u w:val="single"/>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485C"/>
    <w:multiLevelType w:val="hybridMultilevel"/>
    <w:tmpl w:val="4820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C6379"/>
    <w:multiLevelType w:val="hybridMultilevel"/>
    <w:tmpl w:val="B19A1232"/>
    <w:lvl w:ilvl="0" w:tplc="2842CAA6">
      <w:numFmt w:val="bullet"/>
      <w:lvlText w:val="•"/>
      <w:lvlJc w:val="left"/>
      <w:pPr>
        <w:ind w:left="1494" w:hanging="360"/>
      </w:pPr>
      <w:rPr>
        <w:rFonts w:ascii="Calibri" w:eastAsia="Times New Roman"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0F02B5"/>
    <w:multiLevelType w:val="hybridMultilevel"/>
    <w:tmpl w:val="EF8A0CC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20E636C"/>
    <w:multiLevelType w:val="hybridMultilevel"/>
    <w:tmpl w:val="CEF8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D0AD2"/>
    <w:multiLevelType w:val="hybridMultilevel"/>
    <w:tmpl w:val="A90E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435E5"/>
    <w:multiLevelType w:val="hybridMultilevel"/>
    <w:tmpl w:val="1040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66015"/>
    <w:multiLevelType w:val="hybridMultilevel"/>
    <w:tmpl w:val="C09233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B51E4"/>
    <w:multiLevelType w:val="hybridMultilevel"/>
    <w:tmpl w:val="9A08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10F9E"/>
    <w:multiLevelType w:val="hybridMultilevel"/>
    <w:tmpl w:val="8390CB1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34AA0B1D"/>
    <w:multiLevelType w:val="hybridMultilevel"/>
    <w:tmpl w:val="1E0A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F0451"/>
    <w:multiLevelType w:val="hybridMultilevel"/>
    <w:tmpl w:val="2DB00E08"/>
    <w:lvl w:ilvl="0" w:tplc="72C46B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2627D"/>
    <w:multiLevelType w:val="hybridMultilevel"/>
    <w:tmpl w:val="42644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24A76"/>
    <w:multiLevelType w:val="hybridMultilevel"/>
    <w:tmpl w:val="B706F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C672320"/>
    <w:multiLevelType w:val="hybridMultilevel"/>
    <w:tmpl w:val="70500712"/>
    <w:lvl w:ilvl="0" w:tplc="72C46B8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897863"/>
    <w:multiLevelType w:val="multilevel"/>
    <w:tmpl w:val="10E46C12"/>
    <w:lvl w:ilvl="0">
      <w:start w:val="1"/>
      <w:numFmt w:val="decimal"/>
      <w:pStyle w:val="Heading1"/>
      <w:lvlText w:val="3.2.S.4.%1."/>
      <w:lvlJc w:val="left"/>
      <w:pPr>
        <w:tabs>
          <w:tab w:val="num" w:pos="716"/>
        </w:tabs>
        <w:ind w:left="716" w:hanging="432"/>
      </w:pPr>
      <w:rPr>
        <w:rFonts w:hint="default"/>
      </w:rPr>
    </w:lvl>
    <w:lvl w:ilvl="1">
      <w:start w:val="1"/>
      <w:numFmt w:val="decimal"/>
      <w:pStyle w:val="Heading2"/>
      <w:lvlText w:val="3.2.S.4.%1.%2"/>
      <w:lvlJc w:val="left"/>
      <w:pPr>
        <w:tabs>
          <w:tab w:val="num" w:pos="4687"/>
        </w:tabs>
        <w:ind w:left="4687" w:hanging="576"/>
      </w:pPr>
      <w:rPr>
        <w:rFonts w:hint="default"/>
      </w:rPr>
    </w:lvl>
    <w:lvl w:ilvl="2">
      <w:start w:val="1"/>
      <w:numFmt w:val="decimal"/>
      <w:pStyle w:val="Heading3"/>
      <w:lvlText w:val="3.2.S.4.%1.%2.%3"/>
      <w:lvlJc w:val="left"/>
      <w:pPr>
        <w:tabs>
          <w:tab w:val="num" w:pos="4831"/>
        </w:tabs>
        <w:ind w:left="4831" w:hanging="720"/>
      </w:pPr>
      <w:rPr>
        <w:rFonts w:hint="default"/>
      </w:rPr>
    </w:lvl>
    <w:lvl w:ilvl="3">
      <w:start w:val="1"/>
      <w:numFmt w:val="decimal"/>
      <w:pStyle w:val="Heading4"/>
      <w:lvlText w:val="3.2.S.4.%1.%2.%3.%4"/>
      <w:lvlJc w:val="left"/>
      <w:pPr>
        <w:tabs>
          <w:tab w:val="num" w:pos="4975"/>
        </w:tabs>
        <w:ind w:left="4975" w:hanging="864"/>
      </w:pPr>
      <w:rPr>
        <w:rFonts w:hint="default"/>
      </w:rPr>
    </w:lvl>
    <w:lvl w:ilvl="4">
      <w:start w:val="1"/>
      <w:numFmt w:val="decimal"/>
      <w:pStyle w:val="Heading5"/>
      <w:lvlText w:val="3.2.S.4.%1.%2.%3.%4.%5"/>
      <w:lvlJc w:val="left"/>
      <w:pPr>
        <w:tabs>
          <w:tab w:val="num" w:pos="5119"/>
        </w:tabs>
        <w:ind w:left="5119" w:hanging="1008"/>
      </w:pPr>
      <w:rPr>
        <w:rFonts w:hint="default"/>
      </w:rPr>
    </w:lvl>
    <w:lvl w:ilvl="5">
      <w:start w:val="1"/>
      <w:numFmt w:val="decimal"/>
      <w:pStyle w:val="Heading6"/>
      <w:lvlText w:val="3.2.S.4.%1.%2.%3.%4.%5.%6"/>
      <w:lvlJc w:val="left"/>
      <w:pPr>
        <w:tabs>
          <w:tab w:val="num" w:pos="5263"/>
        </w:tabs>
        <w:ind w:left="5263" w:hanging="1152"/>
      </w:pPr>
      <w:rPr>
        <w:rFonts w:hint="default"/>
      </w:rPr>
    </w:lvl>
    <w:lvl w:ilvl="6">
      <w:start w:val="1"/>
      <w:numFmt w:val="decimal"/>
      <w:pStyle w:val="Heading7"/>
      <w:lvlText w:val="3.2.S.4.%1.%2.%3.%4.%5.%6.%7"/>
      <w:lvlJc w:val="left"/>
      <w:pPr>
        <w:tabs>
          <w:tab w:val="num" w:pos="5407"/>
        </w:tabs>
        <w:ind w:left="5407" w:hanging="1296"/>
      </w:pPr>
      <w:rPr>
        <w:rFonts w:hint="default"/>
      </w:rPr>
    </w:lvl>
    <w:lvl w:ilvl="7">
      <w:start w:val="1"/>
      <w:numFmt w:val="decimal"/>
      <w:pStyle w:val="Heading8"/>
      <w:lvlText w:val="3.2.S.4.%1.%2.%3.%4.%5.%6.%7.%8"/>
      <w:lvlJc w:val="left"/>
      <w:pPr>
        <w:tabs>
          <w:tab w:val="num" w:pos="5551"/>
        </w:tabs>
        <w:ind w:left="5551" w:hanging="1440"/>
      </w:pPr>
      <w:rPr>
        <w:rFonts w:hint="default"/>
      </w:rPr>
    </w:lvl>
    <w:lvl w:ilvl="8">
      <w:start w:val="1"/>
      <w:numFmt w:val="decimal"/>
      <w:pStyle w:val="Heading9"/>
      <w:lvlText w:val="3.2.S.4.%1.%2.%3.%4.%5.%6.%7.%8.%9"/>
      <w:lvlJc w:val="left"/>
      <w:pPr>
        <w:tabs>
          <w:tab w:val="num" w:pos="5695"/>
        </w:tabs>
        <w:ind w:left="5695" w:hanging="1584"/>
      </w:pPr>
      <w:rPr>
        <w:rFonts w:hint="default"/>
      </w:rPr>
    </w:lvl>
  </w:abstractNum>
  <w:abstractNum w:abstractNumId="18" w15:restartNumberingAfterBreak="0">
    <w:nsid w:val="6AAF1A72"/>
    <w:multiLevelType w:val="multilevel"/>
    <w:tmpl w:val="A07C63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3E10FC"/>
    <w:multiLevelType w:val="hybridMultilevel"/>
    <w:tmpl w:val="87B4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64D1E"/>
    <w:multiLevelType w:val="hybridMultilevel"/>
    <w:tmpl w:val="8250C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B303AD2"/>
    <w:multiLevelType w:val="hybridMultilevel"/>
    <w:tmpl w:val="9484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4"/>
  </w:num>
  <w:num w:numId="12">
    <w:abstractNumId w:val="2"/>
  </w:num>
  <w:num w:numId="13">
    <w:abstractNumId w:val="13"/>
  </w:num>
  <w:num w:numId="14">
    <w:abstractNumId w:val="0"/>
  </w:num>
  <w:num w:numId="15">
    <w:abstractNumId w:val="11"/>
  </w:num>
  <w:num w:numId="16">
    <w:abstractNumId w:val="16"/>
  </w:num>
  <w:num w:numId="17">
    <w:abstractNumId w:val="8"/>
  </w:num>
  <w:num w:numId="18">
    <w:abstractNumId w:val="21"/>
  </w:num>
  <w:num w:numId="19">
    <w:abstractNumId w:val="9"/>
  </w:num>
  <w:num w:numId="20">
    <w:abstractNumId w:val="6"/>
  </w:num>
  <w:num w:numId="21">
    <w:abstractNumId w:val="10"/>
  </w:num>
  <w:num w:numId="22">
    <w:abstractNumId w:val="12"/>
  </w:num>
  <w:num w:numId="23">
    <w:abstractNumId w:val="1"/>
  </w:num>
  <w:num w:numId="24">
    <w:abstractNumId w:val="5"/>
  </w:num>
  <w:num w:numId="25">
    <w:abstractNumId w:val="20"/>
  </w:num>
  <w:num w:numId="26">
    <w:abstractNumId w:val="19"/>
  </w:num>
  <w:num w:numId="27">
    <w:abstractNumId w:val="7"/>
  </w:num>
  <w:num w:numId="28">
    <w:abstractNumId w:val="4"/>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D4"/>
    <w:rsid w:val="00040B3A"/>
    <w:rsid w:val="0006344A"/>
    <w:rsid w:val="00093DFF"/>
    <w:rsid w:val="00094EA9"/>
    <w:rsid w:val="000A2791"/>
    <w:rsid w:val="000C465E"/>
    <w:rsid w:val="000C7AD4"/>
    <w:rsid w:val="0011316A"/>
    <w:rsid w:val="001178BF"/>
    <w:rsid w:val="00123BC7"/>
    <w:rsid w:val="00187C99"/>
    <w:rsid w:val="001A7FEE"/>
    <w:rsid w:val="001E7913"/>
    <w:rsid w:val="00216069"/>
    <w:rsid w:val="00246BB3"/>
    <w:rsid w:val="002574B2"/>
    <w:rsid w:val="002A586D"/>
    <w:rsid w:val="002B3DDF"/>
    <w:rsid w:val="002C2870"/>
    <w:rsid w:val="002E6432"/>
    <w:rsid w:val="002F3679"/>
    <w:rsid w:val="00337D6E"/>
    <w:rsid w:val="003435D5"/>
    <w:rsid w:val="003A67E9"/>
    <w:rsid w:val="003C3D4A"/>
    <w:rsid w:val="003C79ED"/>
    <w:rsid w:val="003F2C3B"/>
    <w:rsid w:val="00406FB0"/>
    <w:rsid w:val="00423069"/>
    <w:rsid w:val="00423A98"/>
    <w:rsid w:val="00426649"/>
    <w:rsid w:val="004453F0"/>
    <w:rsid w:val="00462164"/>
    <w:rsid w:val="004630B8"/>
    <w:rsid w:val="0046439E"/>
    <w:rsid w:val="004709B0"/>
    <w:rsid w:val="00485272"/>
    <w:rsid w:val="00485CD3"/>
    <w:rsid w:val="004964B8"/>
    <w:rsid w:val="005413F6"/>
    <w:rsid w:val="00553871"/>
    <w:rsid w:val="0057277C"/>
    <w:rsid w:val="00584E3E"/>
    <w:rsid w:val="00595B11"/>
    <w:rsid w:val="005D5730"/>
    <w:rsid w:val="005E08EF"/>
    <w:rsid w:val="005F2020"/>
    <w:rsid w:val="00602139"/>
    <w:rsid w:val="00621FA6"/>
    <w:rsid w:val="00623036"/>
    <w:rsid w:val="006304AB"/>
    <w:rsid w:val="00650F99"/>
    <w:rsid w:val="00655021"/>
    <w:rsid w:val="006D3393"/>
    <w:rsid w:val="006D33A1"/>
    <w:rsid w:val="006E5361"/>
    <w:rsid w:val="00714400"/>
    <w:rsid w:val="00721D22"/>
    <w:rsid w:val="00740162"/>
    <w:rsid w:val="00792744"/>
    <w:rsid w:val="007970DD"/>
    <w:rsid w:val="007C128B"/>
    <w:rsid w:val="007D2C8D"/>
    <w:rsid w:val="00815AFD"/>
    <w:rsid w:val="008441FE"/>
    <w:rsid w:val="00864BAF"/>
    <w:rsid w:val="008755EA"/>
    <w:rsid w:val="008A0F47"/>
    <w:rsid w:val="008B1E32"/>
    <w:rsid w:val="008B469C"/>
    <w:rsid w:val="008C61A0"/>
    <w:rsid w:val="00911058"/>
    <w:rsid w:val="00954A9A"/>
    <w:rsid w:val="00957C02"/>
    <w:rsid w:val="00987E49"/>
    <w:rsid w:val="009B0007"/>
    <w:rsid w:val="009D0E09"/>
    <w:rsid w:val="009E5EBE"/>
    <w:rsid w:val="00A42C98"/>
    <w:rsid w:val="00A87F9C"/>
    <w:rsid w:val="00AB4D38"/>
    <w:rsid w:val="00AC06D6"/>
    <w:rsid w:val="00AC324E"/>
    <w:rsid w:val="00AE30FE"/>
    <w:rsid w:val="00AE4753"/>
    <w:rsid w:val="00B02B45"/>
    <w:rsid w:val="00B17706"/>
    <w:rsid w:val="00B259F0"/>
    <w:rsid w:val="00B33580"/>
    <w:rsid w:val="00B3775E"/>
    <w:rsid w:val="00B74593"/>
    <w:rsid w:val="00BA10CD"/>
    <w:rsid w:val="00BB0513"/>
    <w:rsid w:val="00BF1DCE"/>
    <w:rsid w:val="00C0696A"/>
    <w:rsid w:val="00C21ABA"/>
    <w:rsid w:val="00C24BED"/>
    <w:rsid w:val="00C80002"/>
    <w:rsid w:val="00CA5050"/>
    <w:rsid w:val="00D04D3A"/>
    <w:rsid w:val="00D579DD"/>
    <w:rsid w:val="00D6109A"/>
    <w:rsid w:val="00D63903"/>
    <w:rsid w:val="00D914D8"/>
    <w:rsid w:val="00DC4881"/>
    <w:rsid w:val="00DF03CE"/>
    <w:rsid w:val="00E23871"/>
    <w:rsid w:val="00E47717"/>
    <w:rsid w:val="00E7490F"/>
    <w:rsid w:val="00E82AEA"/>
    <w:rsid w:val="00E83152"/>
    <w:rsid w:val="00EA7F33"/>
    <w:rsid w:val="00EF0A79"/>
    <w:rsid w:val="00EF1D88"/>
    <w:rsid w:val="00F06E22"/>
    <w:rsid w:val="00F3148F"/>
    <w:rsid w:val="00F55D87"/>
    <w:rsid w:val="00F64132"/>
    <w:rsid w:val="00F746C9"/>
    <w:rsid w:val="00FA772C"/>
    <w:rsid w:val="00FD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4CF60"/>
  <w15:docId w15:val="{E12DDD1B-5EF5-490E-BC86-B547086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48F"/>
    <w:pPr>
      <w:spacing w:after="240" w:line="300" w:lineRule="auto"/>
    </w:pPr>
    <w:rPr>
      <w:kern w:val="24"/>
      <w:sz w:val="24"/>
      <w:szCs w:val="24"/>
      <w:lang w:val="en-US" w:eastAsia="ja-JP"/>
    </w:rPr>
  </w:style>
  <w:style w:type="paragraph" w:styleId="Heading1">
    <w:name w:val="heading 1"/>
    <w:basedOn w:val="Normal"/>
    <w:next w:val="Normal"/>
    <w:link w:val="Heading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Heading2">
    <w:name w:val="heading 2"/>
    <w:basedOn w:val="Heading1"/>
    <w:next w:val="Normal"/>
    <w:link w:val="Heading2Char"/>
    <w:qFormat/>
    <w:rsid w:val="00F3148F"/>
    <w:pPr>
      <w:numPr>
        <w:ilvl w:val="1"/>
      </w:numPr>
      <w:tabs>
        <w:tab w:val="clear" w:pos="1152"/>
        <w:tab w:val="left" w:pos="1404"/>
      </w:tabs>
      <w:outlineLvl w:val="1"/>
    </w:pPr>
  </w:style>
  <w:style w:type="paragraph" w:styleId="Heading3">
    <w:name w:val="heading 3"/>
    <w:basedOn w:val="Heading1"/>
    <w:next w:val="Normal"/>
    <w:link w:val="Heading3Char"/>
    <w:qFormat/>
    <w:rsid w:val="00F3148F"/>
    <w:pPr>
      <w:numPr>
        <w:ilvl w:val="2"/>
      </w:numPr>
      <w:tabs>
        <w:tab w:val="clear" w:pos="1152"/>
        <w:tab w:val="left" w:pos="1642"/>
      </w:tabs>
      <w:outlineLvl w:val="2"/>
    </w:pPr>
  </w:style>
  <w:style w:type="paragraph" w:styleId="Heading4">
    <w:name w:val="heading 4"/>
    <w:basedOn w:val="Heading1"/>
    <w:next w:val="Normal"/>
    <w:link w:val="Heading4Char"/>
    <w:qFormat/>
    <w:rsid w:val="00F3148F"/>
    <w:pPr>
      <w:numPr>
        <w:ilvl w:val="3"/>
      </w:numPr>
      <w:tabs>
        <w:tab w:val="clear" w:pos="1152"/>
        <w:tab w:val="left" w:pos="1865"/>
      </w:tabs>
      <w:outlineLvl w:val="3"/>
    </w:pPr>
  </w:style>
  <w:style w:type="paragraph" w:styleId="Heading5">
    <w:name w:val="heading 5"/>
    <w:basedOn w:val="Heading1"/>
    <w:next w:val="Normal"/>
    <w:link w:val="Heading5Char"/>
    <w:qFormat/>
    <w:rsid w:val="00F3148F"/>
    <w:pPr>
      <w:numPr>
        <w:ilvl w:val="4"/>
      </w:numPr>
      <w:tabs>
        <w:tab w:val="clear" w:pos="1152"/>
        <w:tab w:val="left" w:pos="2074"/>
      </w:tabs>
      <w:outlineLvl w:val="4"/>
    </w:pPr>
  </w:style>
  <w:style w:type="paragraph" w:styleId="Heading6">
    <w:name w:val="heading 6"/>
    <w:basedOn w:val="Heading1"/>
    <w:next w:val="Normal"/>
    <w:link w:val="Heading6Char"/>
    <w:qFormat/>
    <w:rsid w:val="00F3148F"/>
    <w:pPr>
      <w:numPr>
        <w:ilvl w:val="5"/>
      </w:numPr>
      <w:tabs>
        <w:tab w:val="clear" w:pos="1152"/>
        <w:tab w:val="left" w:pos="2268"/>
      </w:tabs>
      <w:outlineLvl w:val="5"/>
    </w:pPr>
  </w:style>
  <w:style w:type="paragraph" w:styleId="Heading7">
    <w:name w:val="heading 7"/>
    <w:basedOn w:val="Heading1"/>
    <w:next w:val="Normal"/>
    <w:link w:val="Heading7Char"/>
    <w:qFormat/>
    <w:rsid w:val="00F3148F"/>
    <w:pPr>
      <w:numPr>
        <w:ilvl w:val="6"/>
      </w:numPr>
      <w:tabs>
        <w:tab w:val="clear" w:pos="1152"/>
        <w:tab w:val="left" w:pos="2448"/>
      </w:tabs>
      <w:outlineLvl w:val="6"/>
    </w:pPr>
  </w:style>
  <w:style w:type="paragraph" w:styleId="Heading8">
    <w:name w:val="heading 8"/>
    <w:basedOn w:val="Heading1"/>
    <w:next w:val="Normal"/>
    <w:link w:val="Heading8Char"/>
    <w:qFormat/>
    <w:rsid w:val="00F3148F"/>
    <w:pPr>
      <w:numPr>
        <w:ilvl w:val="7"/>
      </w:numPr>
      <w:tabs>
        <w:tab w:val="clear" w:pos="1152"/>
        <w:tab w:val="left" w:pos="2614"/>
      </w:tabs>
      <w:outlineLvl w:val="7"/>
    </w:pPr>
  </w:style>
  <w:style w:type="paragraph" w:styleId="Heading9">
    <w:name w:val="heading 9"/>
    <w:basedOn w:val="Heading1"/>
    <w:next w:val="Normal"/>
    <w:link w:val="Heading9Char"/>
    <w:qFormat/>
    <w:rsid w:val="00F3148F"/>
    <w:pPr>
      <w:numPr>
        <w:ilvl w:val="8"/>
      </w:numPr>
      <w:tabs>
        <w:tab w:val="clear" w:pos="1152"/>
        <w:tab w:val="left" w:pos="2765"/>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ijl1">
    <w:name w:val="Stijl1"/>
    <w:uiPriority w:val="99"/>
    <w:rsid w:val="00987E49"/>
    <w:pPr>
      <w:numPr>
        <w:numId w:val="1"/>
      </w:numPr>
    </w:pPr>
  </w:style>
  <w:style w:type="character" w:customStyle="1" w:styleId="Heading1Char">
    <w:name w:val="Heading 1 Char"/>
    <w:basedOn w:val="DefaultParagraphFont"/>
    <w:link w:val="Heading1"/>
    <w:rsid w:val="00F3148F"/>
    <w:rPr>
      <w:rFonts w:eastAsia="Times New Roman"/>
      <w:b/>
      <w:kern w:val="28"/>
      <w:sz w:val="28"/>
      <w:szCs w:val="28"/>
      <w:lang w:val="en-US" w:eastAsia="ja-JP"/>
    </w:rPr>
  </w:style>
  <w:style w:type="character" w:customStyle="1" w:styleId="Heading2Char">
    <w:name w:val="Heading 2 Char"/>
    <w:basedOn w:val="DefaultParagraphFont"/>
    <w:link w:val="Heading2"/>
    <w:rsid w:val="00F3148F"/>
    <w:rPr>
      <w:rFonts w:eastAsia="Times New Roman"/>
      <w:b/>
      <w:kern w:val="28"/>
      <w:sz w:val="28"/>
      <w:szCs w:val="28"/>
      <w:lang w:val="en-US" w:eastAsia="ja-JP"/>
    </w:rPr>
  </w:style>
  <w:style w:type="character" w:customStyle="1" w:styleId="Heading3Char">
    <w:name w:val="Heading 3 Char"/>
    <w:basedOn w:val="DefaultParagraphFont"/>
    <w:link w:val="Heading3"/>
    <w:rsid w:val="00F3148F"/>
    <w:rPr>
      <w:rFonts w:eastAsia="Times New Roman"/>
      <w:b/>
      <w:kern w:val="28"/>
      <w:sz w:val="28"/>
      <w:szCs w:val="28"/>
      <w:lang w:val="en-US" w:eastAsia="ja-JP"/>
    </w:rPr>
  </w:style>
  <w:style w:type="character" w:customStyle="1" w:styleId="Heading4Char">
    <w:name w:val="Heading 4 Char"/>
    <w:basedOn w:val="DefaultParagraphFont"/>
    <w:link w:val="Heading4"/>
    <w:rsid w:val="00F3148F"/>
    <w:rPr>
      <w:rFonts w:eastAsia="Times New Roman"/>
      <w:b/>
      <w:kern w:val="28"/>
      <w:sz w:val="28"/>
      <w:szCs w:val="28"/>
      <w:lang w:val="en-US" w:eastAsia="ja-JP"/>
    </w:rPr>
  </w:style>
  <w:style w:type="character" w:customStyle="1" w:styleId="Heading5Char">
    <w:name w:val="Heading 5 Char"/>
    <w:basedOn w:val="DefaultParagraphFont"/>
    <w:link w:val="Heading5"/>
    <w:rsid w:val="00F3148F"/>
    <w:rPr>
      <w:rFonts w:eastAsia="Times New Roman"/>
      <w:b/>
      <w:kern w:val="28"/>
      <w:sz w:val="28"/>
      <w:szCs w:val="28"/>
      <w:lang w:val="en-US" w:eastAsia="ja-JP"/>
    </w:rPr>
  </w:style>
  <w:style w:type="character" w:customStyle="1" w:styleId="Heading6Char">
    <w:name w:val="Heading 6 Char"/>
    <w:basedOn w:val="DefaultParagraphFont"/>
    <w:link w:val="Heading6"/>
    <w:rsid w:val="00F3148F"/>
    <w:rPr>
      <w:rFonts w:eastAsia="Times New Roman"/>
      <w:b/>
      <w:kern w:val="28"/>
      <w:sz w:val="28"/>
      <w:szCs w:val="28"/>
      <w:lang w:val="en-US" w:eastAsia="ja-JP"/>
    </w:rPr>
  </w:style>
  <w:style w:type="character" w:customStyle="1" w:styleId="Heading7Char">
    <w:name w:val="Heading 7 Char"/>
    <w:basedOn w:val="DefaultParagraphFont"/>
    <w:link w:val="Heading7"/>
    <w:rsid w:val="00F3148F"/>
    <w:rPr>
      <w:rFonts w:eastAsia="Times New Roman"/>
      <w:b/>
      <w:kern w:val="28"/>
      <w:sz w:val="28"/>
      <w:szCs w:val="28"/>
      <w:lang w:val="en-US" w:eastAsia="ja-JP"/>
    </w:rPr>
  </w:style>
  <w:style w:type="character" w:customStyle="1" w:styleId="Heading8Char">
    <w:name w:val="Heading 8 Char"/>
    <w:basedOn w:val="DefaultParagraphFont"/>
    <w:link w:val="Heading8"/>
    <w:rsid w:val="00F3148F"/>
    <w:rPr>
      <w:rFonts w:eastAsia="Times New Roman"/>
      <w:b/>
      <w:kern w:val="28"/>
      <w:sz w:val="28"/>
      <w:szCs w:val="28"/>
      <w:lang w:val="en-US" w:eastAsia="ja-JP"/>
    </w:rPr>
  </w:style>
  <w:style w:type="character" w:customStyle="1" w:styleId="Heading9Char">
    <w:name w:val="Heading 9 Char"/>
    <w:basedOn w:val="DefaultParagraphFont"/>
    <w:link w:val="Heading9"/>
    <w:rsid w:val="00F3148F"/>
    <w:rPr>
      <w:rFonts w:eastAsia="Times New Roman"/>
      <w:b/>
      <w:kern w:val="28"/>
      <w:sz w:val="28"/>
      <w:szCs w:val="28"/>
      <w:lang w:val="en-US" w:eastAsia="ja-JP"/>
    </w:rPr>
  </w:style>
  <w:style w:type="paragraph" w:styleId="Caption">
    <w:name w:val="caption"/>
    <w:basedOn w:val="Normal"/>
    <w:next w:val="Normal"/>
    <w:qFormat/>
    <w:rsid w:val="00F3148F"/>
    <w:pPr>
      <w:keepNext/>
      <w:spacing w:before="240" w:after="120" w:line="240" w:lineRule="auto"/>
      <w:ind w:left="2160" w:hanging="2160"/>
    </w:pPr>
    <w:rPr>
      <w:rFonts w:eastAsia="Times New Roman"/>
      <w:b/>
      <w:bCs/>
      <w:szCs w:val="20"/>
    </w:rPr>
  </w:style>
  <w:style w:type="paragraph" w:styleId="Title">
    <w:name w:val="Title"/>
    <w:basedOn w:val="Normal"/>
    <w:next w:val="Normal"/>
    <w:link w:val="Title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leChar">
    <w:name w:val="Title Char"/>
    <w:basedOn w:val="DefaultParagraphFont"/>
    <w:link w:val="Title"/>
    <w:rsid w:val="00F3148F"/>
    <w:rPr>
      <w:rFonts w:ascii="Times New Roman Bold" w:eastAsia="Times New Roman" w:hAnsi="Times New Roman Bold" w:cs="Arial"/>
      <w:b/>
      <w:bCs/>
      <w:kern w:val="28"/>
      <w:sz w:val="28"/>
      <w:szCs w:val="28"/>
      <w:lang w:val="en-US" w:eastAsia="ja-JP"/>
    </w:rPr>
  </w:style>
  <w:style w:type="paragraph" w:styleId="BodyText">
    <w:name w:val="Body Text"/>
    <w:basedOn w:val="Normal"/>
    <w:link w:val="BodyTex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BodyTextChar">
    <w:name w:val="Body Text Char"/>
    <w:basedOn w:val="DefaultParagraphFont"/>
    <w:link w:val="BodyText"/>
    <w:uiPriority w:val="1"/>
    <w:rsid w:val="00F3148F"/>
    <w:rPr>
      <w:rFonts w:eastAsia="Times New Roman" w:cstheme="minorBidi"/>
      <w:sz w:val="24"/>
      <w:szCs w:val="24"/>
      <w:lang w:val="en-US"/>
    </w:rPr>
  </w:style>
  <w:style w:type="paragraph" w:styleId="ListParagraph">
    <w:name w:val="List Paragraph"/>
    <w:basedOn w:val="Normal"/>
    <w:uiPriority w:val="34"/>
    <w:qFormat/>
    <w:rsid w:val="00F3148F"/>
    <w:pPr>
      <w:ind w:left="720"/>
      <w:contextualSpacing/>
    </w:pPr>
    <w:rPr>
      <w:rFonts w:eastAsia="Times New Roman"/>
    </w:rPr>
  </w:style>
  <w:style w:type="paragraph" w:styleId="Header">
    <w:name w:val="header"/>
    <w:basedOn w:val="Normal"/>
    <w:link w:val="HeaderChar"/>
    <w:unhideWhenUsed/>
    <w:rsid w:val="000A2791"/>
    <w:pPr>
      <w:tabs>
        <w:tab w:val="center" w:pos="4536"/>
        <w:tab w:val="right" w:pos="9072"/>
      </w:tabs>
      <w:spacing w:after="0" w:line="240" w:lineRule="auto"/>
    </w:pPr>
  </w:style>
  <w:style w:type="character" w:customStyle="1" w:styleId="HeaderChar">
    <w:name w:val="Header Char"/>
    <w:basedOn w:val="DefaultParagraphFont"/>
    <w:link w:val="Header"/>
    <w:rsid w:val="000A2791"/>
    <w:rPr>
      <w:kern w:val="24"/>
      <w:sz w:val="24"/>
      <w:szCs w:val="24"/>
      <w:lang w:val="en-US" w:eastAsia="ja-JP"/>
    </w:rPr>
  </w:style>
  <w:style w:type="paragraph" w:styleId="Footer">
    <w:name w:val="footer"/>
    <w:basedOn w:val="Normal"/>
    <w:link w:val="FooterChar"/>
    <w:uiPriority w:val="99"/>
    <w:unhideWhenUsed/>
    <w:rsid w:val="000A27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2791"/>
    <w:rPr>
      <w:kern w:val="24"/>
      <w:sz w:val="24"/>
      <w:szCs w:val="24"/>
      <w:lang w:val="en-US" w:eastAsia="ja-JP"/>
    </w:rPr>
  </w:style>
  <w:style w:type="character" w:styleId="PlaceholderText">
    <w:name w:val="Placeholder Text"/>
    <w:basedOn w:val="DefaultParagraphFont"/>
    <w:uiPriority w:val="99"/>
    <w:semiHidden/>
    <w:rsid w:val="0011316A"/>
    <w:rPr>
      <w:color w:val="808080"/>
    </w:rPr>
  </w:style>
  <w:style w:type="paragraph" w:styleId="BalloonText">
    <w:name w:val="Balloon Text"/>
    <w:basedOn w:val="Normal"/>
    <w:link w:val="BalloonTextChar"/>
    <w:uiPriority w:val="99"/>
    <w:semiHidden/>
    <w:unhideWhenUsed/>
    <w:rsid w:val="0011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16A"/>
    <w:rPr>
      <w:rFonts w:ascii="Tahoma" w:hAnsi="Tahoma" w:cs="Tahoma"/>
      <w:kern w:val="24"/>
      <w:sz w:val="16"/>
      <w:szCs w:val="16"/>
      <w:lang w:val="en-US" w:eastAsia="ja-JP"/>
    </w:rPr>
  </w:style>
  <w:style w:type="paragraph" w:styleId="NormalWeb">
    <w:name w:val="Normal (Web)"/>
    <w:basedOn w:val="Normal"/>
    <w:uiPriority w:val="99"/>
    <w:unhideWhenUsed/>
    <w:rsid w:val="00BB0513"/>
    <w:pPr>
      <w:spacing w:before="100" w:beforeAutospacing="1" w:after="100" w:afterAutospacing="1" w:line="240" w:lineRule="auto"/>
    </w:pPr>
    <w:rPr>
      <w:rFonts w:eastAsia="Times New Roman"/>
      <w:kern w:val="0"/>
      <w:lang w:val="en-GB" w:eastAsia="en-GB"/>
    </w:rPr>
  </w:style>
  <w:style w:type="paragraph" w:customStyle="1" w:styleId="Default">
    <w:name w:val="Default"/>
    <w:rsid w:val="00954A9A"/>
    <w:pPr>
      <w:autoSpaceDE w:val="0"/>
      <w:autoSpaceDN w:val="0"/>
      <w:adjustRightInd w:val="0"/>
    </w:pPr>
    <w:rPr>
      <w:rFonts w:eastAsia="Calibri"/>
      <w:color w:val="000000"/>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66050">
      <w:bodyDiv w:val="1"/>
      <w:marLeft w:val="0"/>
      <w:marRight w:val="0"/>
      <w:marTop w:val="0"/>
      <w:marBottom w:val="0"/>
      <w:divBdr>
        <w:top w:val="none" w:sz="0" w:space="0" w:color="auto"/>
        <w:left w:val="none" w:sz="0" w:space="0" w:color="auto"/>
        <w:bottom w:val="none" w:sz="0" w:space="0" w:color="auto"/>
        <w:right w:val="none" w:sz="0" w:space="0" w:color="auto"/>
      </w:divBdr>
      <w:divsChild>
        <w:div w:id="868373884">
          <w:marLeft w:val="0"/>
          <w:marRight w:val="0"/>
          <w:marTop w:val="0"/>
          <w:marBottom w:val="0"/>
          <w:divBdr>
            <w:top w:val="none" w:sz="0" w:space="0" w:color="auto"/>
            <w:left w:val="none" w:sz="0" w:space="0" w:color="auto"/>
            <w:bottom w:val="none" w:sz="0" w:space="0" w:color="auto"/>
            <w:right w:val="none" w:sz="0" w:space="0" w:color="auto"/>
          </w:divBdr>
        </w:div>
      </w:divsChild>
    </w:div>
    <w:div w:id="344668791">
      <w:bodyDiv w:val="1"/>
      <w:marLeft w:val="0"/>
      <w:marRight w:val="0"/>
      <w:marTop w:val="0"/>
      <w:marBottom w:val="0"/>
      <w:divBdr>
        <w:top w:val="none" w:sz="0" w:space="0" w:color="auto"/>
        <w:left w:val="none" w:sz="0" w:space="0" w:color="auto"/>
        <w:bottom w:val="none" w:sz="0" w:space="0" w:color="auto"/>
        <w:right w:val="none" w:sz="0" w:space="0" w:color="auto"/>
      </w:divBdr>
    </w:div>
    <w:div w:id="438060903">
      <w:bodyDiv w:val="1"/>
      <w:marLeft w:val="0"/>
      <w:marRight w:val="0"/>
      <w:marTop w:val="0"/>
      <w:marBottom w:val="0"/>
      <w:divBdr>
        <w:top w:val="none" w:sz="0" w:space="0" w:color="auto"/>
        <w:left w:val="none" w:sz="0" w:space="0" w:color="auto"/>
        <w:bottom w:val="none" w:sz="0" w:space="0" w:color="auto"/>
        <w:right w:val="none" w:sz="0" w:space="0" w:color="auto"/>
      </w:divBdr>
    </w:div>
    <w:div w:id="613515111">
      <w:bodyDiv w:val="1"/>
      <w:marLeft w:val="0"/>
      <w:marRight w:val="0"/>
      <w:marTop w:val="0"/>
      <w:marBottom w:val="0"/>
      <w:divBdr>
        <w:top w:val="none" w:sz="0" w:space="0" w:color="auto"/>
        <w:left w:val="none" w:sz="0" w:space="0" w:color="auto"/>
        <w:bottom w:val="none" w:sz="0" w:space="0" w:color="auto"/>
        <w:right w:val="none" w:sz="0" w:space="0" w:color="auto"/>
      </w:divBdr>
    </w:div>
    <w:div w:id="615143184">
      <w:bodyDiv w:val="1"/>
      <w:marLeft w:val="0"/>
      <w:marRight w:val="0"/>
      <w:marTop w:val="0"/>
      <w:marBottom w:val="0"/>
      <w:divBdr>
        <w:top w:val="none" w:sz="0" w:space="0" w:color="auto"/>
        <w:left w:val="none" w:sz="0" w:space="0" w:color="auto"/>
        <w:bottom w:val="none" w:sz="0" w:space="0" w:color="auto"/>
        <w:right w:val="none" w:sz="0" w:space="0" w:color="auto"/>
      </w:divBdr>
    </w:div>
    <w:div w:id="924995761">
      <w:bodyDiv w:val="1"/>
      <w:marLeft w:val="0"/>
      <w:marRight w:val="0"/>
      <w:marTop w:val="0"/>
      <w:marBottom w:val="0"/>
      <w:divBdr>
        <w:top w:val="none" w:sz="0" w:space="0" w:color="auto"/>
        <w:left w:val="none" w:sz="0" w:space="0" w:color="auto"/>
        <w:bottom w:val="none" w:sz="0" w:space="0" w:color="auto"/>
        <w:right w:val="none" w:sz="0" w:space="0" w:color="auto"/>
      </w:divBdr>
    </w:div>
    <w:div w:id="1062556468">
      <w:bodyDiv w:val="1"/>
      <w:marLeft w:val="0"/>
      <w:marRight w:val="0"/>
      <w:marTop w:val="0"/>
      <w:marBottom w:val="0"/>
      <w:divBdr>
        <w:top w:val="none" w:sz="0" w:space="0" w:color="auto"/>
        <w:left w:val="none" w:sz="0" w:space="0" w:color="auto"/>
        <w:bottom w:val="none" w:sz="0" w:space="0" w:color="auto"/>
        <w:right w:val="none" w:sz="0" w:space="0" w:color="auto"/>
      </w:divBdr>
      <w:divsChild>
        <w:div w:id="1201358374">
          <w:marLeft w:val="0"/>
          <w:marRight w:val="0"/>
          <w:marTop w:val="0"/>
          <w:marBottom w:val="0"/>
          <w:divBdr>
            <w:top w:val="none" w:sz="0" w:space="0" w:color="auto"/>
            <w:left w:val="none" w:sz="0" w:space="0" w:color="auto"/>
            <w:bottom w:val="none" w:sz="0" w:space="0" w:color="auto"/>
            <w:right w:val="none" w:sz="0" w:space="0" w:color="auto"/>
          </w:divBdr>
          <w:divsChild>
            <w:div w:id="1432042372">
              <w:marLeft w:val="0"/>
              <w:marRight w:val="0"/>
              <w:marTop w:val="0"/>
              <w:marBottom w:val="0"/>
              <w:divBdr>
                <w:top w:val="none" w:sz="0" w:space="0" w:color="auto"/>
                <w:left w:val="none" w:sz="0" w:space="0" w:color="auto"/>
                <w:bottom w:val="none" w:sz="0" w:space="0" w:color="auto"/>
                <w:right w:val="none" w:sz="0" w:space="0" w:color="auto"/>
              </w:divBdr>
            </w:div>
            <w:div w:id="15689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7736">
      <w:bodyDiv w:val="1"/>
      <w:marLeft w:val="0"/>
      <w:marRight w:val="0"/>
      <w:marTop w:val="0"/>
      <w:marBottom w:val="0"/>
      <w:divBdr>
        <w:top w:val="none" w:sz="0" w:space="0" w:color="auto"/>
        <w:left w:val="none" w:sz="0" w:space="0" w:color="auto"/>
        <w:bottom w:val="none" w:sz="0" w:space="0" w:color="auto"/>
        <w:right w:val="none" w:sz="0" w:space="0" w:color="auto"/>
      </w:divBdr>
      <w:divsChild>
        <w:div w:id="849560953">
          <w:marLeft w:val="0"/>
          <w:marRight w:val="0"/>
          <w:marTop w:val="0"/>
          <w:marBottom w:val="0"/>
          <w:divBdr>
            <w:top w:val="none" w:sz="0" w:space="0" w:color="auto"/>
            <w:left w:val="none" w:sz="0" w:space="0" w:color="auto"/>
            <w:bottom w:val="none" w:sz="0" w:space="0" w:color="auto"/>
            <w:right w:val="none" w:sz="0" w:space="0" w:color="auto"/>
          </w:divBdr>
        </w:div>
        <w:div w:id="1286041786">
          <w:marLeft w:val="0"/>
          <w:marRight w:val="0"/>
          <w:marTop w:val="0"/>
          <w:marBottom w:val="0"/>
          <w:divBdr>
            <w:top w:val="none" w:sz="0" w:space="0" w:color="auto"/>
            <w:left w:val="none" w:sz="0" w:space="0" w:color="auto"/>
            <w:bottom w:val="none" w:sz="0" w:space="0" w:color="auto"/>
            <w:right w:val="none" w:sz="0" w:space="0" w:color="auto"/>
          </w:divBdr>
        </w:div>
      </w:divsChild>
    </w:div>
    <w:div w:id="1257791168">
      <w:bodyDiv w:val="1"/>
      <w:marLeft w:val="0"/>
      <w:marRight w:val="0"/>
      <w:marTop w:val="0"/>
      <w:marBottom w:val="0"/>
      <w:divBdr>
        <w:top w:val="none" w:sz="0" w:space="0" w:color="auto"/>
        <w:left w:val="none" w:sz="0" w:space="0" w:color="auto"/>
        <w:bottom w:val="none" w:sz="0" w:space="0" w:color="auto"/>
        <w:right w:val="none" w:sz="0" w:space="0" w:color="auto"/>
      </w:divBdr>
    </w:div>
    <w:div w:id="1421827043">
      <w:bodyDiv w:val="1"/>
      <w:marLeft w:val="0"/>
      <w:marRight w:val="0"/>
      <w:marTop w:val="0"/>
      <w:marBottom w:val="0"/>
      <w:divBdr>
        <w:top w:val="none" w:sz="0" w:space="0" w:color="auto"/>
        <w:left w:val="none" w:sz="0" w:space="0" w:color="auto"/>
        <w:bottom w:val="none" w:sz="0" w:space="0" w:color="auto"/>
        <w:right w:val="none" w:sz="0" w:space="0" w:color="auto"/>
      </w:divBdr>
    </w:div>
    <w:div w:id="1516966883">
      <w:bodyDiv w:val="1"/>
      <w:marLeft w:val="0"/>
      <w:marRight w:val="0"/>
      <w:marTop w:val="0"/>
      <w:marBottom w:val="0"/>
      <w:divBdr>
        <w:top w:val="none" w:sz="0" w:space="0" w:color="auto"/>
        <w:left w:val="none" w:sz="0" w:space="0" w:color="auto"/>
        <w:bottom w:val="none" w:sz="0" w:space="0" w:color="auto"/>
        <w:right w:val="none" w:sz="0" w:space="0" w:color="auto"/>
      </w:divBdr>
    </w:div>
    <w:div w:id="1658919900">
      <w:bodyDiv w:val="1"/>
      <w:marLeft w:val="0"/>
      <w:marRight w:val="0"/>
      <w:marTop w:val="0"/>
      <w:marBottom w:val="0"/>
      <w:divBdr>
        <w:top w:val="none" w:sz="0" w:space="0" w:color="auto"/>
        <w:left w:val="none" w:sz="0" w:space="0" w:color="auto"/>
        <w:bottom w:val="none" w:sz="0" w:space="0" w:color="auto"/>
        <w:right w:val="none" w:sz="0" w:space="0" w:color="auto"/>
      </w:divBdr>
      <w:divsChild>
        <w:div w:id="1647853607">
          <w:marLeft w:val="0"/>
          <w:marRight w:val="0"/>
          <w:marTop w:val="0"/>
          <w:marBottom w:val="0"/>
          <w:divBdr>
            <w:top w:val="none" w:sz="0" w:space="0" w:color="auto"/>
            <w:left w:val="none" w:sz="0" w:space="0" w:color="auto"/>
            <w:bottom w:val="none" w:sz="0" w:space="0" w:color="auto"/>
            <w:right w:val="none" w:sz="0" w:space="0" w:color="auto"/>
          </w:divBdr>
        </w:div>
        <w:div w:id="656766501">
          <w:marLeft w:val="0"/>
          <w:marRight w:val="0"/>
          <w:marTop w:val="0"/>
          <w:marBottom w:val="0"/>
          <w:divBdr>
            <w:top w:val="none" w:sz="0" w:space="0" w:color="auto"/>
            <w:left w:val="none" w:sz="0" w:space="0" w:color="auto"/>
            <w:bottom w:val="none" w:sz="0" w:space="0" w:color="auto"/>
            <w:right w:val="none" w:sz="0" w:space="0" w:color="auto"/>
          </w:divBdr>
        </w:div>
        <w:div w:id="246118436">
          <w:marLeft w:val="0"/>
          <w:marRight w:val="0"/>
          <w:marTop w:val="0"/>
          <w:marBottom w:val="0"/>
          <w:divBdr>
            <w:top w:val="none" w:sz="0" w:space="0" w:color="auto"/>
            <w:left w:val="none" w:sz="0" w:space="0" w:color="auto"/>
            <w:bottom w:val="none" w:sz="0" w:space="0" w:color="auto"/>
            <w:right w:val="none" w:sz="0" w:space="0" w:color="auto"/>
          </w:divBdr>
        </w:div>
        <w:div w:id="818032581">
          <w:marLeft w:val="0"/>
          <w:marRight w:val="0"/>
          <w:marTop w:val="0"/>
          <w:marBottom w:val="0"/>
          <w:divBdr>
            <w:top w:val="none" w:sz="0" w:space="0" w:color="auto"/>
            <w:left w:val="none" w:sz="0" w:space="0" w:color="auto"/>
            <w:bottom w:val="none" w:sz="0" w:space="0" w:color="auto"/>
            <w:right w:val="none" w:sz="0" w:space="0" w:color="auto"/>
          </w:divBdr>
        </w:div>
        <w:div w:id="555319124">
          <w:marLeft w:val="0"/>
          <w:marRight w:val="0"/>
          <w:marTop w:val="0"/>
          <w:marBottom w:val="0"/>
          <w:divBdr>
            <w:top w:val="none" w:sz="0" w:space="0" w:color="auto"/>
            <w:left w:val="none" w:sz="0" w:space="0" w:color="auto"/>
            <w:bottom w:val="none" w:sz="0" w:space="0" w:color="auto"/>
            <w:right w:val="none" w:sz="0" w:space="0" w:color="auto"/>
          </w:divBdr>
        </w:div>
      </w:divsChild>
    </w:div>
    <w:div w:id="19597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4078</Words>
  <Characters>22430</Characters>
  <Application>Microsoft Office Word</Application>
  <DocSecurity>0</DocSecurity>
  <Lines>186</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SmPC en</vt:lpstr>
      <vt:lpstr>SmPC en</vt:lpstr>
    </vt:vector>
  </TitlesOfParts>
  <Company>DAFRA PHARMA</Company>
  <LinksUpToDate>false</LinksUpToDate>
  <CharactersWithSpaces>26456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 en</dc:title>
  <dc:subject>SDZOLIV4</dc:subject>
  <dc:creator>Dafra Pharma</dc:creator>
  <cp:lastModifiedBy>Karin Van Halewijck</cp:lastModifiedBy>
  <cp:revision>4</cp:revision>
  <dcterms:created xsi:type="dcterms:W3CDTF">2020-01-08T15:57:00Z</dcterms:created>
  <dcterms:modified xsi:type="dcterms:W3CDTF">2020-01-10T09:27:00Z</dcterms:modified>
  <cp:version>EAC</cp:version>
</cp:coreProperties>
</file>