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A9" w:rsidRPr="002F70A6" w:rsidRDefault="00EE1DA9" w:rsidP="00EE1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2F70A6">
        <w:rPr>
          <w:rFonts w:asciiTheme="minorHAnsi" w:hAnsiTheme="minorHAnsi"/>
          <w:b/>
          <w:sz w:val="28"/>
          <w:szCs w:val="28"/>
        </w:rPr>
        <w:t>Summary of Product Characteristics</w:t>
      </w:r>
    </w:p>
    <w:p w:rsidR="00EE1DA9" w:rsidRPr="00EE1DA9" w:rsidRDefault="00EE1DA9" w:rsidP="00EE1DA9"/>
    <w:p w:rsidR="00AE30FE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</w:rPr>
      </w:pPr>
      <w:r w:rsidRPr="00AE30FE">
        <w:rPr>
          <w:rFonts w:asciiTheme="minorHAnsi" w:hAnsiTheme="minorHAnsi"/>
          <w:b/>
        </w:rPr>
        <w:t>NAME OF THE MEDICINAL PRODUCT (FPP)</w:t>
      </w:r>
    </w:p>
    <w:sdt>
      <w:sdtPr>
        <w:rPr>
          <w:rFonts w:asciiTheme="minorHAnsi" w:hAnsiTheme="minorHAnsi"/>
          <w:b/>
          <w:sz w:val="28"/>
        </w:rPr>
        <w:id w:val="-1198158509"/>
        <w:placeholder>
          <w:docPart w:val="FBFB6A2515C2466B9FD174DDD29FAF26"/>
        </w:placeholder>
      </w:sdtPr>
      <w:sdtEndPr>
        <w:rPr>
          <w:sz w:val="24"/>
        </w:rPr>
      </w:sdtEndPr>
      <w:sdtContent>
        <w:p w:rsidR="007F312D" w:rsidRPr="00EE1DA9" w:rsidRDefault="007F312D" w:rsidP="00772896">
          <w:pPr>
            <w:pStyle w:val="ListParagraph"/>
            <w:spacing w:line="360" w:lineRule="auto"/>
            <w:ind w:left="360"/>
            <w:rPr>
              <w:rFonts w:asciiTheme="minorHAnsi" w:hAnsiTheme="minorHAnsi"/>
              <w:b/>
              <w:sz w:val="28"/>
            </w:rPr>
          </w:pPr>
        </w:p>
        <w:p w:rsidR="005A660C" w:rsidRDefault="005B7D37" w:rsidP="00772896">
          <w:pPr>
            <w:pStyle w:val="ListParagraph"/>
            <w:spacing w:line="360" w:lineRule="auto"/>
            <w:ind w:left="360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RABEZOL</w:t>
          </w:r>
          <w:r w:rsidR="002F70A6">
            <w:rPr>
              <w:rFonts w:asciiTheme="minorHAnsi" w:hAnsiTheme="minorHAnsi"/>
              <w:b/>
            </w:rPr>
            <w:t>®</w:t>
          </w:r>
          <w:r>
            <w:rPr>
              <w:rFonts w:asciiTheme="minorHAnsi" w:hAnsiTheme="minorHAnsi"/>
              <w:b/>
            </w:rPr>
            <w:t xml:space="preserve"> </w:t>
          </w:r>
        </w:p>
        <w:p w:rsidR="0011316A" w:rsidRPr="0011316A" w:rsidRDefault="00EE1DA9" w:rsidP="00772896">
          <w:pPr>
            <w:pStyle w:val="ListParagraph"/>
            <w:spacing w:line="360" w:lineRule="auto"/>
            <w:ind w:left="360"/>
            <w:rPr>
              <w:rFonts w:asciiTheme="minorHAnsi" w:hAnsiTheme="minorHAnsi"/>
              <w:b/>
              <w:lang w:val="nl-BE"/>
            </w:rPr>
          </w:pPr>
          <w:proofErr w:type="spellStart"/>
          <w:r w:rsidRPr="00EE1DA9">
            <w:rPr>
              <w:rFonts w:asciiTheme="minorHAnsi" w:hAnsiTheme="minorHAnsi"/>
              <w:i/>
            </w:rPr>
            <w:t>Rabeprazole</w:t>
          </w:r>
          <w:proofErr w:type="spellEnd"/>
          <w:r w:rsidRPr="00EE1DA9">
            <w:rPr>
              <w:rFonts w:asciiTheme="minorHAnsi" w:hAnsiTheme="minorHAnsi"/>
              <w:i/>
            </w:rPr>
            <w:t xml:space="preserve"> </w:t>
          </w:r>
          <w:r w:rsidR="00C50B7E">
            <w:rPr>
              <w:rFonts w:asciiTheme="minorHAnsi" w:hAnsiTheme="minorHAnsi"/>
              <w:i/>
            </w:rPr>
            <w:t>sodium</w:t>
          </w:r>
        </w:p>
      </w:sdtContent>
    </w:sdt>
    <w:p w:rsidR="0011316A" w:rsidRDefault="002F70A6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Strength</w:t>
      </w:r>
    </w:p>
    <w:sdt>
      <w:sdtPr>
        <w:rPr>
          <w:rFonts w:asciiTheme="minorHAnsi" w:hAnsiTheme="minorHAnsi" w:cs="Times New Roman"/>
          <w:b/>
          <w:kern w:val="24"/>
          <w:lang w:eastAsia="ja-JP"/>
        </w:rPr>
        <w:id w:val="2027291271"/>
        <w:placeholder>
          <w:docPart w:val="FBFB6A2515C2466B9FD174DDD29FAF26"/>
        </w:placeholder>
      </w:sdtPr>
      <w:sdtEndPr>
        <w:rPr>
          <w:rFonts w:cstheme="minorBidi"/>
          <w:kern w:val="0"/>
          <w:lang w:eastAsia="en-US"/>
        </w:rPr>
      </w:sdtEndPr>
      <w:sdtContent>
        <w:p w:rsidR="0011316A" w:rsidRPr="002F70A6" w:rsidRDefault="005A660C" w:rsidP="002F70A6">
          <w:pPr>
            <w:pStyle w:val="BodyText"/>
            <w:kinsoku w:val="0"/>
            <w:overflowPunct w:val="0"/>
            <w:spacing w:line="360" w:lineRule="auto"/>
            <w:ind w:left="792" w:right="111"/>
            <w:jc w:val="both"/>
            <w:rPr>
              <w:rFonts w:asciiTheme="minorHAnsi" w:hAnsiTheme="minorHAnsi"/>
              <w:b/>
            </w:rPr>
          </w:pPr>
          <w:proofErr w:type="spellStart"/>
          <w:r>
            <w:rPr>
              <w:rFonts w:ascii="Calibri" w:hAnsi="Calibri"/>
              <w:lang w:val="en-GB"/>
            </w:rPr>
            <w:t>Rabeprazole</w:t>
          </w:r>
          <w:proofErr w:type="spellEnd"/>
          <w:r>
            <w:rPr>
              <w:rFonts w:ascii="Calibri" w:hAnsi="Calibri"/>
              <w:lang w:val="en-GB"/>
            </w:rPr>
            <w:t xml:space="preserve"> sodium 20</w:t>
          </w:r>
          <w:r w:rsidR="007F6FC3">
            <w:rPr>
              <w:rFonts w:ascii="Calibri" w:hAnsi="Calibri"/>
              <w:lang w:val="en-GB"/>
            </w:rPr>
            <w:t xml:space="preserve"> </w:t>
          </w:r>
          <w:r>
            <w:rPr>
              <w:rFonts w:ascii="Calibri" w:hAnsi="Calibri"/>
              <w:lang w:val="en-GB"/>
            </w:rPr>
            <w:t>mg (</w:t>
          </w:r>
          <w:r w:rsidRPr="004025A6">
            <w:rPr>
              <w:rFonts w:ascii="Calibri" w:hAnsi="Calibri"/>
              <w:lang w:val="en-GB"/>
            </w:rPr>
            <w:t xml:space="preserve">equivalent to </w:t>
          </w:r>
          <w:r w:rsidR="002F70A6">
            <w:rPr>
              <w:rFonts w:ascii="Calibri" w:hAnsi="Calibri"/>
              <w:lang w:val="en-GB"/>
            </w:rPr>
            <w:t>18</w:t>
          </w:r>
          <w:proofErr w:type="gramStart"/>
          <w:r w:rsidR="002F70A6">
            <w:rPr>
              <w:rFonts w:ascii="Calibri" w:hAnsi="Calibri"/>
              <w:lang w:val="en-GB"/>
            </w:rPr>
            <w:t>,85</w:t>
          </w:r>
          <w:proofErr w:type="gramEnd"/>
          <w:r w:rsidR="002F70A6">
            <w:rPr>
              <w:rFonts w:ascii="Calibri" w:hAnsi="Calibri"/>
              <w:lang w:val="en-GB"/>
            </w:rPr>
            <w:t xml:space="preserve"> mg of </w:t>
          </w:r>
          <w:proofErr w:type="spellStart"/>
          <w:r w:rsidR="007F6FC3">
            <w:rPr>
              <w:rFonts w:ascii="Calibri" w:hAnsi="Calibri"/>
              <w:lang w:val="en-GB"/>
            </w:rPr>
            <w:t>r</w:t>
          </w:r>
          <w:r w:rsidRPr="004025A6">
            <w:rPr>
              <w:rFonts w:ascii="Calibri" w:hAnsi="Calibri"/>
              <w:lang w:val="en-GB"/>
            </w:rPr>
            <w:t>abeprazole</w:t>
          </w:r>
          <w:proofErr w:type="spellEnd"/>
          <w:r w:rsidRPr="004025A6">
            <w:rPr>
              <w:rFonts w:ascii="Calibri" w:hAnsi="Calibri"/>
              <w:lang w:val="en-GB"/>
            </w:rPr>
            <w:t>)</w:t>
          </w:r>
          <w:r>
            <w:rPr>
              <w:rFonts w:ascii="Calibri" w:hAnsi="Calibri"/>
              <w:lang w:val="en-GB"/>
            </w:rPr>
            <w:t xml:space="preserve"> </w:t>
          </w:r>
        </w:p>
      </w:sdtContent>
    </w:sdt>
    <w:p w:rsidR="0011316A" w:rsidRDefault="0011316A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Pharmaceutical form</w:t>
      </w:r>
    </w:p>
    <w:p w:rsidR="002B3DDF" w:rsidRDefault="005A660C" w:rsidP="00772896">
      <w:pPr>
        <w:pStyle w:val="ListParagraph"/>
        <w:spacing w:line="360" w:lineRule="auto"/>
        <w:ind w:left="792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Gastro-resistant tablet</w:t>
      </w:r>
      <w:bookmarkStart w:id="0" w:name="_GoBack"/>
      <w:bookmarkEnd w:id="0"/>
    </w:p>
    <w:p w:rsidR="007F312D" w:rsidRDefault="007F312D" w:rsidP="00772896">
      <w:pPr>
        <w:pStyle w:val="ListParagraph"/>
        <w:spacing w:line="360" w:lineRule="auto"/>
        <w:ind w:left="360"/>
        <w:rPr>
          <w:rFonts w:ascii="Calibri" w:hAnsi="Calibri"/>
          <w:lang w:val="en-GB"/>
        </w:rPr>
      </w:pPr>
    </w:p>
    <w:p w:rsidR="00AE30FE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QUALITATIVE AND QUANTITATIVE COMPOSITION</w:t>
      </w:r>
    </w:p>
    <w:p w:rsidR="0011316A" w:rsidRDefault="0011316A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Qualitative declaration</w:t>
      </w:r>
    </w:p>
    <w:sdt>
      <w:sdtPr>
        <w:rPr>
          <w:rFonts w:asciiTheme="minorHAnsi" w:hAnsiTheme="minorHAnsi"/>
          <w:b/>
        </w:rPr>
        <w:id w:val="-2117515805"/>
        <w:placeholder>
          <w:docPart w:val="FBFB6A2515C2466B9FD174DDD29FAF26"/>
        </w:placeholder>
      </w:sdtPr>
      <w:sdtEndPr/>
      <w:sdtContent>
        <w:p w:rsidR="00CC1D99" w:rsidRDefault="00CC1D99" w:rsidP="00772896">
          <w:pPr>
            <w:pStyle w:val="ListParagraph"/>
            <w:spacing w:line="360" w:lineRule="auto"/>
            <w:ind w:left="792"/>
            <w:rPr>
              <w:rFonts w:ascii="Calibri" w:hAnsi="Calibri"/>
              <w:lang w:val="en-GB"/>
            </w:rPr>
          </w:pPr>
          <w:proofErr w:type="spellStart"/>
          <w:r>
            <w:rPr>
              <w:rFonts w:ascii="Calibri" w:hAnsi="Calibri"/>
              <w:lang w:val="en-GB"/>
            </w:rPr>
            <w:t>Rabeprazole</w:t>
          </w:r>
          <w:proofErr w:type="spellEnd"/>
          <w:r>
            <w:rPr>
              <w:rFonts w:ascii="Calibri" w:hAnsi="Calibri"/>
              <w:lang w:val="en-GB"/>
            </w:rPr>
            <w:t xml:space="preserve"> sodium</w:t>
          </w:r>
        </w:p>
        <w:p w:rsidR="0011316A" w:rsidRPr="00CC1D99" w:rsidRDefault="009B134D" w:rsidP="008E4C32">
          <w:pPr>
            <w:pStyle w:val="ListParagraph"/>
            <w:spacing w:after="0"/>
            <w:ind w:left="0"/>
            <w:rPr>
              <w:rFonts w:asciiTheme="minorHAnsi" w:hAnsiTheme="minorHAnsi"/>
              <w:b/>
              <w:lang w:val="en-GB"/>
            </w:rPr>
          </w:pPr>
          <w:r>
            <w:rPr>
              <w:rFonts w:ascii="Calibri" w:hAnsi="Calibri"/>
              <w:lang w:val="en-GB"/>
            </w:rPr>
            <w:t xml:space="preserve">  </w:t>
          </w:r>
          <w:r w:rsidR="00F613EE">
            <w:rPr>
              <w:rFonts w:ascii="Calibri" w:hAnsi="Calibri"/>
              <w:lang w:val="en-GB"/>
            </w:rPr>
            <w:tab/>
          </w:r>
          <w:r w:rsidR="008E4C32">
            <w:rPr>
              <w:rFonts w:ascii="Calibri" w:hAnsi="Calibri"/>
              <w:lang w:val="en-GB"/>
            </w:rPr>
            <w:t xml:space="preserve">  </w:t>
          </w:r>
          <w:r w:rsidRPr="00C2262F">
            <w:rPr>
              <w:rFonts w:ascii="Calibri" w:hAnsi="Calibri"/>
              <w:lang w:val="en-GB"/>
            </w:rPr>
            <w:t>For full list of excipients, see section 6.</w:t>
          </w:r>
          <w:r w:rsidR="008E4C32">
            <w:rPr>
              <w:rFonts w:ascii="Calibri" w:hAnsi="Calibri"/>
              <w:lang w:val="en-GB"/>
            </w:rPr>
            <w:t>1.</w:t>
          </w:r>
        </w:p>
      </w:sdtContent>
    </w:sdt>
    <w:p w:rsidR="0011316A" w:rsidRDefault="0011316A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Quantitative declaration</w:t>
      </w:r>
    </w:p>
    <w:sdt>
      <w:sdtPr>
        <w:rPr>
          <w:rFonts w:asciiTheme="minorHAnsi" w:hAnsiTheme="minorHAnsi" w:cs="Times New Roman"/>
          <w:b/>
          <w:kern w:val="24"/>
          <w:lang w:eastAsia="ja-JP"/>
        </w:rPr>
        <w:id w:val="377286614"/>
        <w:placeholder>
          <w:docPart w:val="FBFB6A2515C2466B9FD174DDD29FAF26"/>
        </w:placeholder>
      </w:sdtPr>
      <w:sdtEndPr/>
      <w:sdtContent>
        <w:p w:rsidR="00CC1D99" w:rsidRDefault="00CC1D99" w:rsidP="00772896">
          <w:pPr>
            <w:pStyle w:val="BodyText"/>
            <w:kinsoku w:val="0"/>
            <w:overflowPunct w:val="0"/>
            <w:spacing w:line="360" w:lineRule="auto"/>
            <w:ind w:left="720" w:right="111"/>
            <w:jc w:val="both"/>
            <w:rPr>
              <w:rFonts w:ascii="Calibri" w:hAnsi="Calibri"/>
              <w:lang w:val="en-GB"/>
            </w:rPr>
          </w:pPr>
          <w:r w:rsidRPr="00C2262F">
            <w:rPr>
              <w:rFonts w:ascii="Calibri" w:hAnsi="Calibri"/>
              <w:lang w:val="en-GB"/>
            </w:rPr>
            <w:t xml:space="preserve">Each </w:t>
          </w:r>
          <w:r>
            <w:rPr>
              <w:rFonts w:ascii="Calibri" w:hAnsi="Calibri"/>
              <w:lang w:val="en-GB"/>
            </w:rPr>
            <w:t>ga</w:t>
          </w:r>
          <w:r w:rsidR="00EE1DA9">
            <w:rPr>
              <w:rFonts w:ascii="Calibri" w:hAnsi="Calibri"/>
              <w:lang w:val="en-GB"/>
            </w:rPr>
            <w:t xml:space="preserve">stro-resistant tablet contains </w:t>
          </w:r>
          <w:r w:rsidR="002F70A6">
            <w:rPr>
              <w:rFonts w:ascii="Calibri" w:hAnsi="Calibri"/>
              <w:lang w:val="en-GB"/>
            </w:rPr>
            <w:t xml:space="preserve">20 mg of </w:t>
          </w:r>
          <w:proofErr w:type="spellStart"/>
          <w:r w:rsidR="00EE1DA9">
            <w:rPr>
              <w:rFonts w:ascii="Calibri" w:hAnsi="Calibri"/>
              <w:lang w:val="en-GB"/>
            </w:rPr>
            <w:t>r</w:t>
          </w:r>
          <w:r w:rsidR="00F613EE">
            <w:rPr>
              <w:rFonts w:ascii="Calibri" w:hAnsi="Calibri"/>
              <w:lang w:val="en-GB"/>
            </w:rPr>
            <w:t>abeprazole</w:t>
          </w:r>
          <w:proofErr w:type="spellEnd"/>
          <w:r w:rsidR="00F613EE">
            <w:rPr>
              <w:rFonts w:ascii="Calibri" w:hAnsi="Calibri"/>
              <w:lang w:val="en-GB"/>
            </w:rPr>
            <w:t xml:space="preserve"> sodium</w:t>
          </w:r>
          <w:r w:rsidR="002F70A6">
            <w:rPr>
              <w:rFonts w:ascii="Calibri" w:hAnsi="Calibri"/>
              <w:lang w:val="en-GB"/>
            </w:rPr>
            <w:t>,</w:t>
          </w:r>
          <w:r>
            <w:rPr>
              <w:rFonts w:ascii="Calibri" w:hAnsi="Calibri"/>
              <w:lang w:val="en-GB"/>
            </w:rPr>
            <w:t xml:space="preserve"> equivalent to 18</w:t>
          </w:r>
          <w:proofErr w:type="gramStart"/>
          <w:r w:rsidR="002F70A6">
            <w:rPr>
              <w:rFonts w:ascii="Calibri" w:hAnsi="Calibri"/>
              <w:lang w:val="en-GB"/>
            </w:rPr>
            <w:t>,</w:t>
          </w:r>
          <w:r>
            <w:rPr>
              <w:rFonts w:ascii="Calibri" w:hAnsi="Calibri"/>
              <w:lang w:val="en-GB"/>
            </w:rPr>
            <w:t>85</w:t>
          </w:r>
          <w:proofErr w:type="gramEnd"/>
          <w:r w:rsidR="007F6FC3">
            <w:rPr>
              <w:rFonts w:ascii="Calibri" w:hAnsi="Calibri"/>
              <w:lang w:val="en-GB"/>
            </w:rPr>
            <w:t xml:space="preserve"> </w:t>
          </w:r>
          <w:r>
            <w:rPr>
              <w:rFonts w:ascii="Calibri" w:hAnsi="Calibri"/>
              <w:lang w:val="en-GB"/>
            </w:rPr>
            <w:t xml:space="preserve">mg </w:t>
          </w:r>
          <w:r w:rsidR="002F70A6">
            <w:rPr>
              <w:rFonts w:ascii="Calibri" w:hAnsi="Calibri"/>
              <w:lang w:val="en-GB"/>
            </w:rPr>
            <w:t xml:space="preserve">of </w:t>
          </w:r>
          <w:proofErr w:type="spellStart"/>
          <w:r w:rsidR="002F70A6">
            <w:rPr>
              <w:rFonts w:ascii="Calibri" w:hAnsi="Calibri"/>
              <w:lang w:val="en-GB"/>
            </w:rPr>
            <w:t>rabeprazole</w:t>
          </w:r>
          <w:proofErr w:type="spellEnd"/>
          <w:r w:rsidR="002F70A6">
            <w:rPr>
              <w:rFonts w:ascii="Calibri" w:hAnsi="Calibri"/>
              <w:lang w:val="en-GB"/>
            </w:rPr>
            <w:t>.</w:t>
          </w:r>
        </w:p>
        <w:p w:rsidR="0011316A" w:rsidRPr="00CC1D99" w:rsidRDefault="00C50B7E" w:rsidP="00772896">
          <w:pPr>
            <w:pStyle w:val="ListParagraph"/>
            <w:spacing w:line="360" w:lineRule="auto"/>
            <w:rPr>
              <w:rFonts w:asciiTheme="minorHAnsi" w:hAnsiTheme="minorHAnsi"/>
              <w:b/>
              <w:lang w:val="en-GB"/>
            </w:rPr>
          </w:pPr>
        </w:p>
      </w:sdtContent>
    </w:sdt>
    <w:p w:rsidR="00AE30FE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PHARMACEUTICAL FORM</w:t>
      </w:r>
    </w:p>
    <w:sdt>
      <w:sdtPr>
        <w:rPr>
          <w:rFonts w:asciiTheme="minorHAnsi" w:hAnsiTheme="minorHAnsi" w:cs="Times New Roman"/>
          <w:b/>
          <w:kern w:val="24"/>
          <w:lang w:eastAsia="ja-JP"/>
        </w:rPr>
        <w:id w:val="124969644"/>
        <w:placeholder>
          <w:docPart w:val="FBFB6A2515C2466B9FD174DDD29FAF26"/>
        </w:placeholder>
      </w:sdtPr>
      <w:sdtEndPr/>
      <w:sdtContent>
        <w:p w:rsidR="00CC1D99" w:rsidRPr="00C2262F" w:rsidRDefault="00CC1D99" w:rsidP="00772896">
          <w:pPr>
            <w:pStyle w:val="BodyText"/>
            <w:kinsoku w:val="0"/>
            <w:overflowPunct w:val="0"/>
            <w:spacing w:line="360" w:lineRule="auto"/>
            <w:ind w:left="360" w:right="111"/>
            <w:jc w:val="both"/>
            <w:rPr>
              <w:rFonts w:ascii="Calibri" w:hAnsi="Calibri"/>
              <w:lang w:val="en-GB"/>
            </w:rPr>
          </w:pPr>
          <w:r>
            <w:rPr>
              <w:rFonts w:ascii="Calibri" w:hAnsi="Calibri"/>
              <w:lang w:val="en-GB"/>
            </w:rPr>
            <w:t xml:space="preserve">Gastro-resistant tablet. </w:t>
          </w:r>
        </w:p>
        <w:p w:rsidR="00CC1D99" w:rsidRDefault="00CC1D99" w:rsidP="00772896">
          <w:pPr>
            <w:pStyle w:val="BodyText"/>
            <w:kinsoku w:val="0"/>
            <w:overflowPunct w:val="0"/>
            <w:spacing w:line="360" w:lineRule="auto"/>
            <w:ind w:left="360" w:right="111"/>
            <w:jc w:val="both"/>
            <w:rPr>
              <w:rFonts w:ascii="Calibri" w:hAnsi="Calibri"/>
              <w:lang w:val="en-GB"/>
            </w:rPr>
          </w:pPr>
          <w:r w:rsidRPr="00105CF6">
            <w:rPr>
              <w:rFonts w:ascii="Calibri" w:hAnsi="Calibri"/>
              <w:lang w:val="en-GB"/>
            </w:rPr>
            <w:t>Round, biconvex, yellow coloured, enteric coated tablet.</w:t>
          </w:r>
        </w:p>
        <w:p w:rsidR="0011316A" w:rsidRPr="0011316A" w:rsidRDefault="00C50B7E" w:rsidP="00772896">
          <w:pPr>
            <w:pStyle w:val="ListParagraph"/>
            <w:spacing w:line="360" w:lineRule="auto"/>
            <w:ind w:left="2160"/>
            <w:rPr>
              <w:rFonts w:asciiTheme="minorHAnsi" w:hAnsiTheme="minorHAnsi"/>
              <w:b/>
              <w:lang w:val="nl-BE"/>
            </w:rPr>
          </w:pPr>
        </w:p>
      </w:sdtContent>
    </w:sdt>
    <w:p w:rsidR="00AE30FE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CLINICAL PARTICULARS</w:t>
      </w:r>
    </w:p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Therapeutic indications</w:t>
      </w:r>
    </w:p>
    <w:sdt>
      <w:sdtPr>
        <w:rPr>
          <w:rFonts w:asciiTheme="minorHAnsi" w:hAnsiTheme="minorHAnsi"/>
          <w:b/>
        </w:rPr>
        <w:id w:val="2055808818"/>
        <w:placeholder>
          <w:docPart w:val="FBFB6A2515C2466B9FD174DDD29FAF26"/>
        </w:placeholder>
      </w:sdtPr>
      <w:sdtEndPr/>
      <w:sdtContent>
        <w:p w:rsidR="00A353C9" w:rsidRPr="00A353C9" w:rsidRDefault="004F2DC2" w:rsidP="00772896">
          <w:pPr>
            <w:pStyle w:val="ListParagraph"/>
            <w:spacing w:line="360" w:lineRule="auto"/>
            <w:rPr>
              <w:rFonts w:asciiTheme="minorHAnsi" w:hAnsiTheme="minorHAnsi"/>
            </w:rPr>
          </w:pPr>
          <w:proofErr w:type="spellStart"/>
          <w:r>
            <w:rPr>
              <w:rFonts w:asciiTheme="minorHAnsi" w:hAnsiTheme="minorHAnsi"/>
            </w:rPr>
            <w:t>Rabezol</w:t>
          </w:r>
          <w:proofErr w:type="spellEnd"/>
          <w:r w:rsidR="00A353C9" w:rsidRPr="00A353C9">
            <w:rPr>
              <w:rFonts w:asciiTheme="minorHAnsi" w:hAnsiTheme="minorHAnsi"/>
            </w:rPr>
            <w:t xml:space="preserve"> is indicated for the treatment of</w:t>
          </w:r>
        </w:p>
        <w:p w:rsidR="00A353C9" w:rsidRPr="00A353C9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nl-BE"/>
            </w:rPr>
          </w:pPr>
          <w:r w:rsidRPr="00A353C9">
            <w:rPr>
              <w:rFonts w:asciiTheme="minorHAnsi" w:hAnsiTheme="minorHAnsi"/>
            </w:rPr>
            <w:t>Active duodenal ulcer</w:t>
          </w:r>
        </w:p>
        <w:p w:rsidR="00A353C9" w:rsidRPr="00A353C9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nl-BE"/>
            </w:rPr>
          </w:pPr>
          <w:r w:rsidRPr="00A353C9">
            <w:rPr>
              <w:rFonts w:asciiTheme="minorHAnsi" w:hAnsiTheme="minorHAnsi"/>
            </w:rPr>
            <w:t>Acti</w:t>
          </w:r>
          <w:r>
            <w:rPr>
              <w:rFonts w:asciiTheme="minorHAnsi" w:hAnsiTheme="minorHAnsi"/>
            </w:rPr>
            <w:t>ve benign gastric ulcer</w:t>
          </w:r>
        </w:p>
        <w:p w:rsidR="00A353C9" w:rsidRPr="00A353C9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en-GB"/>
            </w:rPr>
          </w:pPr>
          <w:r>
            <w:rPr>
              <w:rFonts w:asciiTheme="minorHAnsi" w:hAnsiTheme="minorHAnsi"/>
            </w:rPr>
            <w:t>Symptomatic erosive or ulcerative gastro-</w:t>
          </w:r>
          <w:proofErr w:type="spellStart"/>
          <w:r>
            <w:rPr>
              <w:rFonts w:asciiTheme="minorHAnsi" w:hAnsiTheme="minorHAnsi"/>
            </w:rPr>
            <w:t>oesophageal</w:t>
          </w:r>
          <w:proofErr w:type="spellEnd"/>
          <w:r>
            <w:rPr>
              <w:rFonts w:asciiTheme="minorHAnsi" w:hAnsiTheme="minorHAnsi"/>
            </w:rPr>
            <w:t xml:space="preserve"> reflux disease (GORD)</w:t>
          </w:r>
        </w:p>
        <w:p w:rsidR="00A353C9" w:rsidRPr="00A353C9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en-GB"/>
            </w:rPr>
          </w:pPr>
          <w:r>
            <w:rPr>
              <w:rFonts w:asciiTheme="minorHAnsi" w:hAnsiTheme="minorHAnsi"/>
              <w:lang w:val="en-GB"/>
            </w:rPr>
            <w:lastRenderedPageBreak/>
            <w:t>Gastro-Oesophageal Reflux Disease Long-term Management (GORD maintenance)</w:t>
          </w:r>
        </w:p>
        <w:p w:rsidR="00A353C9" w:rsidRPr="00A353C9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en-GB"/>
            </w:rPr>
          </w:pPr>
          <w:r>
            <w:rPr>
              <w:rFonts w:asciiTheme="minorHAnsi" w:hAnsiTheme="minorHAnsi"/>
              <w:lang w:val="en-GB"/>
            </w:rPr>
            <w:t>Symptomatic treatment of moderate to very severe gastro-</w:t>
          </w:r>
          <w:proofErr w:type="spellStart"/>
          <w:r>
            <w:rPr>
              <w:rFonts w:asciiTheme="minorHAnsi" w:hAnsiTheme="minorHAnsi"/>
              <w:lang w:val="en-GB"/>
            </w:rPr>
            <w:t>oesphageal</w:t>
          </w:r>
          <w:proofErr w:type="spellEnd"/>
          <w:r>
            <w:rPr>
              <w:rFonts w:asciiTheme="minorHAnsi" w:hAnsiTheme="minorHAnsi"/>
              <w:lang w:val="en-GB"/>
            </w:rPr>
            <w:t xml:space="preserve"> reflux disease (symptomatic GORD)</w:t>
          </w:r>
        </w:p>
        <w:p w:rsidR="00A353C9" w:rsidRPr="00A353C9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nl-BE"/>
            </w:rPr>
          </w:pPr>
          <w:proofErr w:type="spellStart"/>
          <w:r>
            <w:rPr>
              <w:rFonts w:asciiTheme="minorHAnsi" w:hAnsiTheme="minorHAnsi"/>
              <w:lang w:val="en-GB"/>
            </w:rPr>
            <w:t>Zollinger</w:t>
          </w:r>
          <w:proofErr w:type="spellEnd"/>
          <w:r>
            <w:rPr>
              <w:rFonts w:asciiTheme="minorHAnsi" w:hAnsiTheme="minorHAnsi"/>
              <w:lang w:val="en-GB"/>
            </w:rPr>
            <w:t xml:space="preserve"> Ellison Syndrome</w:t>
          </w:r>
        </w:p>
        <w:p w:rsidR="00B56147" w:rsidRPr="00B56147" w:rsidRDefault="00A353C9" w:rsidP="00772896">
          <w:pPr>
            <w:pStyle w:val="ListParagraph"/>
            <w:numPr>
              <w:ilvl w:val="0"/>
              <w:numId w:val="13"/>
            </w:numPr>
            <w:spacing w:line="360" w:lineRule="auto"/>
            <w:rPr>
              <w:rFonts w:asciiTheme="minorHAnsi" w:hAnsiTheme="minorHAnsi"/>
              <w:b/>
              <w:lang w:val="en-GB"/>
            </w:rPr>
          </w:pPr>
          <w:r>
            <w:rPr>
              <w:rFonts w:asciiTheme="minorHAnsi" w:hAnsiTheme="minorHAnsi"/>
              <w:lang w:val="en-GB"/>
            </w:rPr>
            <w:t xml:space="preserve">In combination with appropriate antibacterial therapeutic regimens for the eradication of </w:t>
          </w:r>
          <w:r w:rsidRPr="00A353C9">
            <w:rPr>
              <w:rFonts w:asciiTheme="minorHAnsi" w:hAnsiTheme="minorHAnsi"/>
              <w:i/>
              <w:lang w:val="en-GB"/>
            </w:rPr>
            <w:t>Helicobacter pylori</w:t>
          </w:r>
          <w:r>
            <w:rPr>
              <w:rFonts w:asciiTheme="minorHAnsi" w:hAnsiTheme="minorHAnsi"/>
              <w:lang w:val="en-GB"/>
            </w:rPr>
            <w:t xml:space="preserve"> in patients with peptic ulcer disease</w:t>
          </w:r>
          <w:r w:rsidR="00EE1DA9">
            <w:rPr>
              <w:rFonts w:asciiTheme="minorHAnsi" w:hAnsiTheme="minorHAnsi"/>
              <w:lang w:val="en-GB"/>
            </w:rPr>
            <w:t>.</w:t>
          </w:r>
        </w:p>
        <w:p w:rsidR="0011316A" w:rsidRPr="00A353C9" w:rsidRDefault="00C50B7E" w:rsidP="00772896">
          <w:pPr>
            <w:pStyle w:val="ListParagraph"/>
            <w:spacing w:line="360" w:lineRule="auto"/>
            <w:ind w:left="1440"/>
            <w:rPr>
              <w:rFonts w:asciiTheme="minorHAnsi" w:hAnsiTheme="minorHAnsi"/>
              <w:b/>
              <w:lang w:val="en-GB"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Posology and mode of administration</w:t>
      </w:r>
    </w:p>
    <w:p w:rsidR="00B9427A" w:rsidRDefault="00B9427A" w:rsidP="00B9427A">
      <w:pPr>
        <w:pStyle w:val="ListParagraph"/>
        <w:spacing w:line="360" w:lineRule="auto"/>
        <w:ind w:left="1224"/>
        <w:rPr>
          <w:rFonts w:asciiTheme="minorHAnsi" w:hAnsiTheme="minorHAnsi"/>
          <w:b/>
        </w:rPr>
      </w:pPr>
    </w:p>
    <w:p w:rsidR="0011316A" w:rsidRDefault="0011316A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Posology</w:t>
      </w:r>
      <w:r w:rsidR="00B9427A">
        <w:rPr>
          <w:rFonts w:asciiTheme="minorHAnsi" w:hAnsiTheme="minorHAnsi"/>
          <w:b/>
        </w:rPr>
        <w:t xml:space="preserve"> adults and adolescents </w:t>
      </w:r>
    </w:p>
    <w:sdt>
      <w:sdtPr>
        <w:rPr>
          <w:rFonts w:asciiTheme="minorHAnsi" w:hAnsiTheme="minorHAnsi" w:cs="Times New Roman"/>
          <w:b/>
          <w:kern w:val="24"/>
          <w:lang w:eastAsia="ja-JP"/>
        </w:rPr>
        <w:id w:val="793873081"/>
        <w:placeholder>
          <w:docPart w:val="FBFB6A2515C2466B9FD174DDD29FAF26"/>
        </w:placeholder>
      </w:sdtPr>
      <w:sdtEndPr/>
      <w:sdtContent>
        <w:p w:rsidR="008E4BA3" w:rsidRPr="008E4BA3" w:rsidRDefault="00B56147" w:rsidP="00772896">
          <w:pPr>
            <w:pStyle w:val="BodyText"/>
            <w:numPr>
              <w:ilvl w:val="0"/>
              <w:numId w:val="14"/>
            </w:numPr>
            <w:kinsoku w:val="0"/>
            <w:overflowPunct w:val="0"/>
            <w:spacing w:line="360" w:lineRule="auto"/>
            <w:ind w:right="112"/>
            <w:jc w:val="both"/>
            <w:rPr>
              <w:rFonts w:ascii="Calibri" w:hAnsi="Calibri"/>
              <w:lang w:val="en-GB"/>
            </w:rPr>
          </w:pPr>
          <w:r w:rsidRPr="00AA335E">
            <w:rPr>
              <w:rFonts w:ascii="Calibri" w:hAnsi="Calibri"/>
              <w:b/>
              <w:lang w:val="en-GB"/>
            </w:rPr>
            <w:t>Active Duodenal Ulcer and Active Benign Gastric Ulcer</w:t>
          </w:r>
          <w:r w:rsidR="00AA335E" w:rsidRPr="00AA335E">
            <w:rPr>
              <w:rFonts w:ascii="Calibri" w:hAnsi="Calibri"/>
              <w:b/>
              <w:lang w:val="en-GB"/>
            </w:rPr>
            <w:t xml:space="preserve"> </w:t>
          </w:r>
        </w:p>
        <w:p w:rsidR="00B56147" w:rsidRPr="00AA335E" w:rsidRDefault="00B56147" w:rsidP="008E4BA3">
          <w:pPr>
            <w:pStyle w:val="BodyText"/>
            <w:kinsoku w:val="0"/>
            <w:overflowPunct w:val="0"/>
            <w:spacing w:line="360" w:lineRule="auto"/>
            <w:ind w:left="1080" w:right="112"/>
            <w:jc w:val="both"/>
            <w:rPr>
              <w:rFonts w:ascii="Calibri" w:hAnsi="Calibri"/>
              <w:lang w:val="en-GB"/>
            </w:rPr>
          </w:pPr>
          <w:r w:rsidRPr="00AA335E">
            <w:rPr>
              <w:rFonts w:ascii="Calibri" w:hAnsi="Calibri"/>
              <w:lang w:val="en-GB"/>
            </w:rPr>
            <w:t xml:space="preserve">The recommended oral dose is 20 mg to be taken once daily in the morning. Most patients with active duodenal ulcer heal within 4 weeks. However a few patients may require an additional 4 weeks of therapy to achieve healing. Most patients with active benign gastric ulcer heal within 6 weeks. However again a few patients may require an additional 6 week therapy to achieve healing. </w:t>
          </w:r>
        </w:p>
        <w:p w:rsidR="008E4BA3" w:rsidRPr="008E4BA3" w:rsidRDefault="00B56147" w:rsidP="00772896">
          <w:pPr>
            <w:pStyle w:val="BodyText"/>
            <w:numPr>
              <w:ilvl w:val="0"/>
              <w:numId w:val="14"/>
            </w:numPr>
            <w:kinsoku w:val="0"/>
            <w:overflowPunct w:val="0"/>
            <w:spacing w:line="360" w:lineRule="auto"/>
            <w:ind w:right="112"/>
            <w:jc w:val="both"/>
            <w:rPr>
              <w:rFonts w:ascii="Calibri" w:hAnsi="Calibri"/>
              <w:lang w:val="en-GB"/>
            </w:rPr>
          </w:pPr>
          <w:r w:rsidRPr="002D76EE">
            <w:rPr>
              <w:rFonts w:ascii="Calibri" w:hAnsi="Calibri"/>
              <w:b/>
              <w:lang w:val="en-GB"/>
            </w:rPr>
            <w:t>Erosive or Ulcerative Gastro-Oesophageal Reflux Disease (GORD)</w:t>
          </w:r>
        </w:p>
        <w:p w:rsidR="00B56147" w:rsidRDefault="00B56147" w:rsidP="008E4BA3">
          <w:pPr>
            <w:pStyle w:val="BodyText"/>
            <w:kinsoku w:val="0"/>
            <w:overflowPunct w:val="0"/>
            <w:spacing w:line="360" w:lineRule="auto"/>
            <w:ind w:left="1080" w:right="112"/>
            <w:jc w:val="both"/>
            <w:rPr>
              <w:rFonts w:ascii="Calibri" w:hAnsi="Calibri"/>
              <w:lang w:val="en-GB"/>
            </w:rPr>
          </w:pPr>
          <w:r w:rsidRPr="004025A6">
            <w:rPr>
              <w:rFonts w:ascii="Calibri" w:hAnsi="Calibri"/>
              <w:lang w:val="en-GB"/>
            </w:rPr>
            <w:t xml:space="preserve">The recommended oral dose for this condition is 20 mg to be taken once daily for 4 to 8 weeks. </w:t>
          </w:r>
        </w:p>
        <w:p w:rsidR="008E4BA3" w:rsidRDefault="00B56147" w:rsidP="00772896">
          <w:pPr>
            <w:pStyle w:val="BodyText"/>
            <w:numPr>
              <w:ilvl w:val="0"/>
              <w:numId w:val="14"/>
            </w:numPr>
            <w:kinsoku w:val="0"/>
            <w:overflowPunct w:val="0"/>
            <w:spacing w:line="360" w:lineRule="auto"/>
            <w:ind w:right="112"/>
            <w:jc w:val="both"/>
            <w:rPr>
              <w:rFonts w:ascii="Calibri" w:hAnsi="Calibri"/>
              <w:lang w:val="en-GB"/>
            </w:rPr>
          </w:pPr>
          <w:r w:rsidRPr="002D76EE">
            <w:rPr>
              <w:rFonts w:ascii="Calibri" w:hAnsi="Calibri"/>
              <w:b/>
              <w:lang w:val="en-GB"/>
            </w:rPr>
            <w:t>Gastro-Oesophageal Reflux Disease Long term management (GORD Maintenance)</w:t>
          </w:r>
          <w:r w:rsidRPr="004025A6">
            <w:rPr>
              <w:rFonts w:ascii="Calibri" w:hAnsi="Calibri"/>
              <w:lang w:val="en-GB"/>
            </w:rPr>
            <w:t xml:space="preserve"> </w:t>
          </w:r>
        </w:p>
        <w:p w:rsidR="00B56147" w:rsidRDefault="00B56147" w:rsidP="008E4BA3">
          <w:pPr>
            <w:pStyle w:val="BodyText"/>
            <w:kinsoku w:val="0"/>
            <w:overflowPunct w:val="0"/>
            <w:spacing w:line="360" w:lineRule="auto"/>
            <w:ind w:left="1080" w:right="112"/>
            <w:jc w:val="both"/>
            <w:rPr>
              <w:rFonts w:ascii="Calibri" w:hAnsi="Calibri"/>
              <w:lang w:val="en-GB"/>
            </w:rPr>
          </w:pPr>
          <w:r w:rsidRPr="004025A6">
            <w:rPr>
              <w:rFonts w:ascii="Calibri" w:hAnsi="Calibri"/>
              <w:lang w:val="en-GB"/>
            </w:rPr>
            <w:t xml:space="preserve">For long term management, a maintenance dose of </w:t>
          </w:r>
          <w:proofErr w:type="spellStart"/>
          <w:r w:rsidRPr="004025A6">
            <w:rPr>
              <w:rFonts w:ascii="Calibri" w:hAnsi="Calibri"/>
              <w:lang w:val="en-GB"/>
            </w:rPr>
            <w:t>Rabezol</w:t>
          </w:r>
          <w:proofErr w:type="spellEnd"/>
          <w:r w:rsidRPr="004025A6">
            <w:rPr>
              <w:rFonts w:ascii="Calibri" w:hAnsi="Calibri"/>
              <w:lang w:val="en-GB"/>
            </w:rPr>
            <w:t xml:space="preserve"> 20mg or</w:t>
          </w:r>
          <w:r w:rsidR="00EB4574">
            <w:rPr>
              <w:rFonts w:ascii="Calibri" w:hAnsi="Calibri"/>
              <w:lang w:val="en-GB"/>
            </w:rPr>
            <w:t xml:space="preserve"> of </w:t>
          </w:r>
          <w:proofErr w:type="spellStart"/>
          <w:r w:rsidR="00EB4574">
            <w:rPr>
              <w:rFonts w:ascii="Calibri" w:hAnsi="Calibri"/>
              <w:lang w:val="en-GB"/>
            </w:rPr>
            <w:t>rabeprazole</w:t>
          </w:r>
          <w:proofErr w:type="spellEnd"/>
          <w:r w:rsidR="00EB4574">
            <w:rPr>
              <w:rFonts w:ascii="Calibri" w:hAnsi="Calibri"/>
              <w:lang w:val="en-GB"/>
            </w:rPr>
            <w:t xml:space="preserve"> sodium 1</w:t>
          </w:r>
          <w:r w:rsidRPr="004025A6">
            <w:rPr>
              <w:rFonts w:ascii="Calibri" w:hAnsi="Calibri"/>
              <w:lang w:val="en-GB"/>
            </w:rPr>
            <w:t xml:space="preserve">0mg once daily can be used depending upon patient response. </w:t>
          </w:r>
        </w:p>
        <w:p w:rsidR="008E4BA3" w:rsidRPr="008E4BA3" w:rsidRDefault="00B56147" w:rsidP="00772896">
          <w:pPr>
            <w:pStyle w:val="BodyText"/>
            <w:numPr>
              <w:ilvl w:val="0"/>
              <w:numId w:val="14"/>
            </w:numPr>
            <w:kinsoku w:val="0"/>
            <w:overflowPunct w:val="0"/>
            <w:spacing w:line="360" w:lineRule="auto"/>
            <w:ind w:right="112"/>
            <w:jc w:val="both"/>
            <w:rPr>
              <w:rFonts w:ascii="Calibri" w:hAnsi="Calibri"/>
              <w:lang w:val="en-GB"/>
            </w:rPr>
          </w:pPr>
          <w:r w:rsidRPr="002D76EE">
            <w:rPr>
              <w:rFonts w:ascii="Calibri" w:hAnsi="Calibri"/>
              <w:b/>
              <w:lang w:val="en-GB"/>
            </w:rPr>
            <w:t>Symptomatic treatment of moderate to very severe Gastro-Oesophageal Reflux Disease (symptomatic GORD)</w:t>
          </w:r>
        </w:p>
        <w:p w:rsidR="00B56147" w:rsidRDefault="008E4BA3" w:rsidP="008E4BA3">
          <w:pPr>
            <w:pStyle w:val="BodyText"/>
            <w:kinsoku w:val="0"/>
            <w:overflowPunct w:val="0"/>
            <w:spacing w:line="360" w:lineRule="auto"/>
            <w:ind w:left="1080" w:right="112"/>
            <w:jc w:val="both"/>
            <w:rPr>
              <w:rFonts w:ascii="Calibri" w:hAnsi="Calibri"/>
              <w:lang w:val="en-GB"/>
            </w:rPr>
          </w:pPr>
          <w:r>
            <w:rPr>
              <w:rFonts w:ascii="Calibri" w:hAnsi="Calibri"/>
              <w:lang w:val="en-GB"/>
            </w:rPr>
            <w:t>In</w:t>
          </w:r>
          <w:r w:rsidR="002D76EE" w:rsidRPr="004025A6">
            <w:rPr>
              <w:rFonts w:ascii="Calibri" w:hAnsi="Calibri"/>
              <w:lang w:val="en-GB"/>
            </w:rPr>
            <w:t xml:space="preserve"> patients without oesophagitis</w:t>
          </w:r>
          <w:r w:rsidR="002D76EE">
            <w:rPr>
              <w:rFonts w:ascii="Calibri" w:hAnsi="Calibri"/>
              <w:lang w:val="en-GB"/>
            </w:rPr>
            <w:t>:</w:t>
          </w:r>
          <w:r w:rsidR="002D76EE" w:rsidRPr="004025A6">
            <w:rPr>
              <w:rFonts w:ascii="Calibri" w:hAnsi="Calibri"/>
              <w:lang w:val="en-GB"/>
            </w:rPr>
            <w:t xml:space="preserve"> </w:t>
          </w:r>
          <w:r w:rsidR="00B56147" w:rsidRPr="004025A6">
            <w:rPr>
              <w:rFonts w:ascii="Calibri" w:hAnsi="Calibri"/>
              <w:lang w:val="en-GB"/>
            </w:rPr>
            <w:t xml:space="preserve">10 mg </w:t>
          </w:r>
          <w:proofErr w:type="spellStart"/>
          <w:r w:rsidR="009E3D52">
            <w:rPr>
              <w:rFonts w:ascii="Calibri" w:hAnsi="Calibri"/>
              <w:lang w:val="en-GB"/>
            </w:rPr>
            <w:t>rabeprazole</w:t>
          </w:r>
          <w:proofErr w:type="spellEnd"/>
          <w:r w:rsidR="009E3D52">
            <w:rPr>
              <w:rFonts w:ascii="Calibri" w:hAnsi="Calibri"/>
              <w:lang w:val="en-GB"/>
            </w:rPr>
            <w:t xml:space="preserve"> sodium </w:t>
          </w:r>
          <w:r w:rsidR="00B56147" w:rsidRPr="004025A6">
            <w:rPr>
              <w:rFonts w:ascii="Calibri" w:hAnsi="Calibri"/>
              <w:lang w:val="en-GB"/>
            </w:rPr>
            <w:t xml:space="preserve">once daily. If symptoms control has not been achieved during 4 weeks, the patient should be further investigated. Once the symptoms have resolved, subsequent symptom control can be achieved using an on-demand regimen taking 10 mg once daily </w:t>
          </w:r>
          <w:r>
            <w:rPr>
              <w:rFonts w:ascii="Calibri" w:hAnsi="Calibri"/>
              <w:lang w:val="en-GB"/>
            </w:rPr>
            <w:lastRenderedPageBreak/>
            <w:t>w</w:t>
          </w:r>
          <w:r w:rsidR="00B56147" w:rsidRPr="004025A6">
            <w:rPr>
              <w:rFonts w:ascii="Calibri" w:hAnsi="Calibri"/>
              <w:lang w:val="en-GB"/>
            </w:rPr>
            <w:t xml:space="preserve">hen needed. </w:t>
          </w:r>
        </w:p>
        <w:p w:rsidR="008E4BA3" w:rsidRDefault="00B56147" w:rsidP="00772896">
          <w:pPr>
            <w:pStyle w:val="BodyText"/>
            <w:numPr>
              <w:ilvl w:val="0"/>
              <w:numId w:val="14"/>
            </w:numPr>
            <w:kinsoku w:val="0"/>
            <w:overflowPunct w:val="0"/>
            <w:spacing w:line="360" w:lineRule="auto"/>
            <w:ind w:right="112"/>
            <w:jc w:val="both"/>
            <w:rPr>
              <w:rFonts w:ascii="Calibri" w:hAnsi="Calibri"/>
              <w:lang w:val="en-GB"/>
            </w:rPr>
          </w:pPr>
          <w:proofErr w:type="spellStart"/>
          <w:r w:rsidRPr="002D76EE">
            <w:rPr>
              <w:rFonts w:ascii="Calibri" w:hAnsi="Calibri"/>
              <w:b/>
              <w:lang w:val="en-GB"/>
            </w:rPr>
            <w:t>Zollinger</w:t>
          </w:r>
          <w:proofErr w:type="spellEnd"/>
          <w:r w:rsidRPr="002D76EE">
            <w:rPr>
              <w:rFonts w:ascii="Calibri" w:hAnsi="Calibri"/>
              <w:b/>
              <w:lang w:val="en-GB"/>
            </w:rPr>
            <w:t>-Ellison Syndrome</w:t>
          </w:r>
          <w:r w:rsidR="002D76EE">
            <w:rPr>
              <w:rFonts w:ascii="Calibri" w:hAnsi="Calibri"/>
              <w:lang w:val="en-GB"/>
            </w:rPr>
            <w:t xml:space="preserve"> </w:t>
          </w:r>
        </w:p>
        <w:p w:rsidR="00B56147" w:rsidRDefault="002D76EE" w:rsidP="008E4BA3">
          <w:pPr>
            <w:pStyle w:val="BodyText"/>
            <w:kinsoku w:val="0"/>
            <w:overflowPunct w:val="0"/>
            <w:spacing w:line="360" w:lineRule="auto"/>
            <w:ind w:left="1080" w:right="112"/>
            <w:jc w:val="both"/>
            <w:rPr>
              <w:rFonts w:ascii="Calibri" w:hAnsi="Calibri"/>
              <w:lang w:val="en-GB"/>
            </w:rPr>
          </w:pPr>
          <w:r>
            <w:rPr>
              <w:rFonts w:ascii="Calibri" w:hAnsi="Calibri"/>
              <w:lang w:val="en-GB"/>
            </w:rPr>
            <w:t>T</w:t>
          </w:r>
          <w:r w:rsidR="00B56147" w:rsidRPr="004025A6">
            <w:rPr>
              <w:rFonts w:ascii="Calibri" w:hAnsi="Calibri"/>
              <w:lang w:val="en-GB"/>
            </w:rPr>
            <w:t xml:space="preserve">he recommended adult starting dose is 60 mg </w:t>
          </w:r>
          <w:proofErr w:type="spellStart"/>
          <w:r w:rsidR="00781B40">
            <w:rPr>
              <w:rFonts w:ascii="Calibri" w:hAnsi="Calibri"/>
              <w:lang w:val="en-GB"/>
            </w:rPr>
            <w:t>Rabezol</w:t>
          </w:r>
          <w:proofErr w:type="spellEnd"/>
          <w:r w:rsidR="00781B40">
            <w:rPr>
              <w:rFonts w:ascii="Calibri" w:hAnsi="Calibri"/>
              <w:lang w:val="en-GB"/>
            </w:rPr>
            <w:t xml:space="preserve"> </w:t>
          </w:r>
          <w:r w:rsidR="00B56147" w:rsidRPr="004025A6">
            <w:rPr>
              <w:rFonts w:ascii="Calibri" w:hAnsi="Calibri"/>
              <w:lang w:val="en-GB"/>
            </w:rPr>
            <w:t xml:space="preserve">once a day. The dose may be titrated upwards to 120 mg/day based on individual patient needs. Single daily doses up to 100 mg/day may be given. 120 mg dose may require divided doses, 60 mg twice daily. Treatment should continue for as long as clinically indicated. </w:t>
          </w:r>
        </w:p>
        <w:p w:rsidR="008E4BA3" w:rsidRPr="008E4BA3" w:rsidRDefault="00B56147" w:rsidP="00772896">
          <w:pPr>
            <w:pStyle w:val="BodyText"/>
            <w:numPr>
              <w:ilvl w:val="0"/>
              <w:numId w:val="14"/>
            </w:numPr>
            <w:kinsoku w:val="0"/>
            <w:overflowPunct w:val="0"/>
            <w:spacing w:line="360" w:lineRule="auto"/>
            <w:ind w:right="112"/>
            <w:jc w:val="both"/>
            <w:rPr>
              <w:rFonts w:ascii="Calibri" w:hAnsi="Calibri"/>
              <w:lang w:val="en-GB"/>
            </w:rPr>
          </w:pPr>
          <w:r w:rsidRPr="002D76EE">
            <w:rPr>
              <w:rFonts w:ascii="Calibri" w:hAnsi="Calibri"/>
              <w:b/>
              <w:lang w:val="en-GB"/>
            </w:rPr>
            <w:t>Eradication of</w:t>
          </w:r>
          <w:r w:rsidRPr="002D76EE">
            <w:rPr>
              <w:rFonts w:ascii="Calibri" w:hAnsi="Calibri"/>
              <w:b/>
              <w:i/>
              <w:lang w:val="en-GB"/>
            </w:rPr>
            <w:t xml:space="preserve"> H. pylori</w:t>
          </w:r>
          <w:r w:rsidR="002D76EE">
            <w:rPr>
              <w:rFonts w:ascii="Calibri" w:hAnsi="Calibri"/>
              <w:i/>
              <w:lang w:val="en-GB"/>
            </w:rPr>
            <w:t xml:space="preserve"> </w:t>
          </w:r>
        </w:p>
        <w:p w:rsidR="00923853" w:rsidRDefault="00B56147" w:rsidP="008E4BA3">
          <w:pPr>
            <w:pStyle w:val="BodyText"/>
            <w:kinsoku w:val="0"/>
            <w:overflowPunct w:val="0"/>
            <w:spacing w:line="360" w:lineRule="auto"/>
            <w:ind w:left="1080" w:right="112"/>
            <w:jc w:val="both"/>
            <w:rPr>
              <w:rFonts w:ascii="Calibri" w:hAnsi="Calibri"/>
              <w:lang w:val="en-GB"/>
            </w:rPr>
          </w:pPr>
          <w:r w:rsidRPr="00923853">
            <w:rPr>
              <w:rFonts w:ascii="Calibri" w:hAnsi="Calibri"/>
              <w:lang w:val="en-GB"/>
            </w:rPr>
            <w:t xml:space="preserve">Patients with </w:t>
          </w:r>
          <w:r w:rsidRPr="002D76EE">
            <w:rPr>
              <w:rFonts w:ascii="Calibri" w:hAnsi="Calibri"/>
              <w:i/>
              <w:lang w:val="en-GB"/>
            </w:rPr>
            <w:t>H. pylori</w:t>
          </w:r>
          <w:r w:rsidRPr="00923853">
            <w:rPr>
              <w:rFonts w:ascii="Calibri" w:hAnsi="Calibri"/>
              <w:lang w:val="en-GB"/>
            </w:rPr>
            <w:t xml:space="preserve"> infection should be treated with eradication therapy. The following combination given for 7 days is recommended. </w:t>
          </w:r>
          <w:proofErr w:type="spellStart"/>
          <w:r w:rsidRPr="00923853">
            <w:rPr>
              <w:rFonts w:ascii="Calibri" w:hAnsi="Calibri"/>
              <w:lang w:val="en-GB"/>
            </w:rPr>
            <w:t>Rabezol</w:t>
          </w:r>
          <w:proofErr w:type="spellEnd"/>
          <w:r w:rsidRPr="00923853">
            <w:rPr>
              <w:rFonts w:ascii="Calibri" w:hAnsi="Calibri"/>
              <w:lang w:val="en-GB"/>
            </w:rPr>
            <w:t xml:space="preserve"> 20 mg twice daily + clarithromycin 500 mg twice daily and amoxicillin 1 g twice daily.</w:t>
          </w:r>
        </w:p>
        <w:p w:rsidR="0011316A" w:rsidRPr="0011316A" w:rsidRDefault="00C50B7E" w:rsidP="00772896">
          <w:pPr>
            <w:pStyle w:val="ListParagraph"/>
            <w:spacing w:line="360" w:lineRule="auto"/>
            <w:ind w:left="2880"/>
            <w:rPr>
              <w:rFonts w:asciiTheme="minorHAnsi" w:hAnsiTheme="minorHAnsi"/>
              <w:b/>
              <w:lang w:val="nl-BE"/>
            </w:rPr>
          </w:pPr>
        </w:p>
      </w:sdtContent>
    </w:sdt>
    <w:p w:rsidR="0011316A" w:rsidRDefault="0011316A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Special populations</w:t>
      </w:r>
    </w:p>
    <w:sdt>
      <w:sdtPr>
        <w:rPr>
          <w:rFonts w:asciiTheme="minorHAnsi" w:hAnsiTheme="minorHAnsi"/>
          <w:b/>
        </w:rPr>
        <w:id w:val="-478691484"/>
        <w:placeholder>
          <w:docPart w:val="FBFB6A2515C2466B9FD174DDD29FAF26"/>
        </w:placeholder>
      </w:sdtPr>
      <w:sdtEndPr/>
      <w:sdtContent>
        <w:p w:rsidR="00772896" w:rsidRPr="00772896" w:rsidRDefault="00E96159" w:rsidP="00772896">
          <w:pPr>
            <w:pStyle w:val="ListParagraph"/>
            <w:spacing w:line="360" w:lineRule="auto"/>
            <w:ind w:left="1224"/>
            <w:rPr>
              <w:rFonts w:ascii="Calibri" w:hAnsi="Calibri"/>
              <w:b/>
              <w:lang w:val="en-GB"/>
            </w:rPr>
          </w:pPr>
          <w:r w:rsidRPr="00772896">
            <w:rPr>
              <w:rFonts w:ascii="Calibri" w:hAnsi="Calibri"/>
              <w:b/>
              <w:lang w:val="en-GB"/>
            </w:rPr>
            <w:t>Renal and hepatic impairment</w:t>
          </w:r>
        </w:p>
        <w:p w:rsidR="00E96159" w:rsidRDefault="00E96159" w:rsidP="00772896">
          <w:pPr>
            <w:pStyle w:val="ListParagraph"/>
            <w:spacing w:line="360" w:lineRule="auto"/>
            <w:ind w:left="1224"/>
            <w:rPr>
              <w:rFonts w:ascii="Calibri" w:hAnsi="Calibri"/>
              <w:lang w:val="en-GB"/>
            </w:rPr>
          </w:pPr>
          <w:r w:rsidRPr="004025A6">
            <w:rPr>
              <w:rFonts w:ascii="Calibri" w:hAnsi="Calibri"/>
              <w:lang w:val="en-GB"/>
            </w:rPr>
            <w:t xml:space="preserve">No dosage adjustment is necessary for patients with renal or hepatic impairment. </w:t>
          </w:r>
          <w:r w:rsidR="00772896">
            <w:rPr>
              <w:rFonts w:ascii="Calibri" w:hAnsi="Calibri" w:cs="Arial"/>
            </w:rPr>
            <w:t>T</w:t>
          </w:r>
          <w:r w:rsidR="00772896" w:rsidRPr="00F742C9">
            <w:rPr>
              <w:rFonts w:ascii="Calibri" w:hAnsi="Calibri" w:cs="Arial"/>
            </w:rPr>
            <w:t xml:space="preserve">here are </w:t>
          </w:r>
          <w:r w:rsidR="00213C65">
            <w:rPr>
              <w:rFonts w:ascii="Calibri" w:hAnsi="Calibri" w:cs="Arial"/>
            </w:rPr>
            <w:t xml:space="preserve">no clinical data on the use of </w:t>
          </w:r>
          <w:proofErr w:type="spellStart"/>
          <w:r w:rsidR="00213C65">
            <w:rPr>
              <w:rFonts w:ascii="Calibri" w:hAnsi="Calibri" w:cs="Arial"/>
            </w:rPr>
            <w:t>r</w:t>
          </w:r>
          <w:r w:rsidR="00772896" w:rsidRPr="00F742C9">
            <w:rPr>
              <w:rFonts w:ascii="Calibri" w:hAnsi="Calibri" w:cs="Arial"/>
            </w:rPr>
            <w:t>abe</w:t>
          </w:r>
          <w:r w:rsidR="00213C65">
            <w:rPr>
              <w:rFonts w:ascii="Calibri" w:hAnsi="Calibri" w:cs="Arial"/>
            </w:rPr>
            <w:t>pra</w:t>
          </w:r>
          <w:r w:rsidR="00772896">
            <w:rPr>
              <w:rFonts w:ascii="Calibri" w:hAnsi="Calibri" w:cs="Arial"/>
            </w:rPr>
            <w:t>zol</w:t>
          </w:r>
          <w:r w:rsidR="00213C65">
            <w:rPr>
              <w:rFonts w:ascii="Calibri" w:hAnsi="Calibri" w:cs="Arial"/>
            </w:rPr>
            <w:t>e</w:t>
          </w:r>
          <w:proofErr w:type="spellEnd"/>
          <w:r w:rsidR="00213C65">
            <w:rPr>
              <w:rFonts w:ascii="Calibri" w:hAnsi="Calibri" w:cs="Arial"/>
            </w:rPr>
            <w:t xml:space="preserve"> </w:t>
          </w:r>
          <w:r w:rsidR="00772896" w:rsidRPr="00F742C9">
            <w:rPr>
              <w:rFonts w:ascii="Calibri" w:hAnsi="Calibri" w:cs="Arial"/>
            </w:rPr>
            <w:t>in the treatment of patients with severe hepatic dysfunction</w:t>
          </w:r>
          <w:r w:rsidR="007F6FC3">
            <w:rPr>
              <w:rFonts w:ascii="Calibri" w:hAnsi="Calibri" w:cs="Arial"/>
            </w:rPr>
            <w:t xml:space="preserve">: </w:t>
          </w:r>
          <w:r w:rsidR="007F6FC3" w:rsidRPr="00F742C9">
            <w:rPr>
              <w:rFonts w:ascii="Calibri" w:hAnsi="Calibri" w:cs="Arial"/>
            </w:rPr>
            <w:t>caut</w:t>
          </w:r>
          <w:r w:rsidR="007F6FC3">
            <w:rPr>
              <w:rFonts w:ascii="Calibri" w:hAnsi="Calibri" w:cs="Arial"/>
            </w:rPr>
            <w:t xml:space="preserve">ion </w:t>
          </w:r>
          <w:r w:rsidR="00772896" w:rsidRPr="00F742C9">
            <w:rPr>
              <w:rFonts w:ascii="Calibri" w:hAnsi="Calibri" w:cs="Arial"/>
            </w:rPr>
            <w:t xml:space="preserve">is advised </w:t>
          </w:r>
          <w:r w:rsidR="007F6FC3">
            <w:rPr>
              <w:rFonts w:ascii="Calibri" w:hAnsi="Calibri" w:cs="Arial"/>
            </w:rPr>
            <w:t>when</w:t>
          </w:r>
          <w:r w:rsidR="00772896">
            <w:rPr>
              <w:rFonts w:ascii="Calibri" w:hAnsi="Calibri" w:cs="Arial"/>
            </w:rPr>
            <w:t xml:space="preserve"> </w:t>
          </w:r>
          <w:proofErr w:type="spellStart"/>
          <w:r w:rsidR="00772896">
            <w:rPr>
              <w:rFonts w:ascii="Calibri" w:hAnsi="Calibri" w:cs="Arial"/>
            </w:rPr>
            <w:t>Rabezol</w:t>
          </w:r>
          <w:proofErr w:type="spellEnd"/>
          <w:r w:rsidR="00772896" w:rsidRPr="00F742C9">
            <w:rPr>
              <w:rFonts w:ascii="Calibri" w:hAnsi="Calibri" w:cs="Arial"/>
            </w:rPr>
            <w:t xml:space="preserve"> is first initiated in such patients</w:t>
          </w:r>
          <w:r w:rsidRPr="004025A6">
            <w:rPr>
              <w:rFonts w:ascii="Calibri" w:hAnsi="Calibri"/>
              <w:lang w:val="en-GB"/>
            </w:rPr>
            <w:t>.</w:t>
          </w:r>
        </w:p>
        <w:p w:rsidR="0011316A" w:rsidRPr="00E96159" w:rsidRDefault="00C50B7E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b/>
              <w:lang w:val="en-GB"/>
            </w:rPr>
          </w:pPr>
        </w:p>
      </w:sdtContent>
    </w:sdt>
    <w:p w:rsidR="0011316A" w:rsidRDefault="00923853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Pediatric</w:t>
      </w:r>
      <w:r w:rsidR="0011316A">
        <w:rPr>
          <w:rFonts w:asciiTheme="minorHAnsi" w:hAnsiTheme="minorHAnsi"/>
          <w:b/>
        </w:rPr>
        <w:t xml:space="preserve"> population</w:t>
      </w:r>
    </w:p>
    <w:sdt>
      <w:sdtPr>
        <w:rPr>
          <w:rFonts w:asciiTheme="minorHAnsi" w:hAnsiTheme="minorHAnsi"/>
          <w:b/>
        </w:rPr>
        <w:id w:val="-2047592253"/>
        <w:placeholder>
          <w:docPart w:val="FBFB6A2515C2466B9FD174DDD29FAF26"/>
        </w:placeholder>
      </w:sdtPr>
      <w:sdtEndPr/>
      <w:sdtContent>
        <w:p w:rsidR="00E96159" w:rsidRDefault="00E96159" w:rsidP="00772896">
          <w:pPr>
            <w:pStyle w:val="ListParagraph"/>
            <w:spacing w:line="360" w:lineRule="auto"/>
            <w:ind w:left="1224"/>
            <w:rPr>
              <w:rFonts w:ascii="Calibri" w:hAnsi="Calibri"/>
              <w:lang w:val="en-GB"/>
            </w:rPr>
          </w:pPr>
          <w:proofErr w:type="spellStart"/>
          <w:r w:rsidRPr="004025A6">
            <w:rPr>
              <w:rFonts w:ascii="Calibri" w:hAnsi="Calibri"/>
              <w:lang w:val="en-GB"/>
            </w:rPr>
            <w:t>Rabezol</w:t>
          </w:r>
          <w:proofErr w:type="spellEnd"/>
          <w:r w:rsidRPr="004025A6">
            <w:rPr>
              <w:rFonts w:ascii="Calibri" w:hAnsi="Calibri"/>
              <w:lang w:val="en-GB"/>
            </w:rPr>
            <w:t xml:space="preserve"> is not recommended for use in children, as there is no experience of its use in this group</w:t>
          </w:r>
          <w:r w:rsidR="003800EA">
            <w:rPr>
              <w:rFonts w:ascii="Calibri" w:hAnsi="Calibri"/>
              <w:lang w:val="en-GB"/>
            </w:rPr>
            <w:t xml:space="preserve"> of patients.</w:t>
          </w:r>
        </w:p>
        <w:p w:rsidR="0011316A" w:rsidRPr="00E96159" w:rsidRDefault="00C50B7E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b/>
              <w:lang w:val="en-GB"/>
            </w:rPr>
          </w:pPr>
        </w:p>
      </w:sdtContent>
    </w:sdt>
    <w:p w:rsidR="0011316A" w:rsidRDefault="0011316A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Method of </w:t>
      </w:r>
      <w:r w:rsidR="00923853">
        <w:rPr>
          <w:rFonts w:asciiTheme="minorHAnsi" w:hAnsiTheme="minorHAnsi"/>
          <w:b/>
        </w:rPr>
        <w:t>administration</w:t>
      </w:r>
    </w:p>
    <w:sdt>
      <w:sdtPr>
        <w:rPr>
          <w:rFonts w:asciiTheme="minorHAnsi" w:hAnsiTheme="minorHAnsi" w:cs="Times New Roman"/>
          <w:b/>
          <w:kern w:val="24"/>
          <w:lang w:eastAsia="ja-JP"/>
        </w:rPr>
        <w:id w:val="-1518921705"/>
        <w:placeholder>
          <w:docPart w:val="FBFB6A2515C2466B9FD174DDD29FAF26"/>
        </w:placeholder>
      </w:sdtPr>
      <w:sdtEndPr/>
      <w:sdtContent>
        <w:p w:rsidR="009E3D52" w:rsidRPr="008E4BA3" w:rsidRDefault="00E96159" w:rsidP="008E4BA3">
          <w:pPr>
            <w:pStyle w:val="BodyText"/>
            <w:kinsoku w:val="0"/>
            <w:overflowPunct w:val="0"/>
            <w:spacing w:line="360" w:lineRule="auto"/>
            <w:ind w:left="1224" w:right="112"/>
            <w:jc w:val="both"/>
            <w:rPr>
              <w:rFonts w:asciiTheme="minorHAnsi" w:hAnsiTheme="minorHAnsi"/>
              <w:b/>
            </w:rPr>
          </w:pPr>
          <w:r w:rsidRPr="00923853">
            <w:rPr>
              <w:rFonts w:ascii="Calibri" w:hAnsi="Calibri"/>
              <w:lang w:val="en-GB"/>
            </w:rPr>
            <w:t>For indications requiring on</w:t>
          </w:r>
          <w:r w:rsidR="001E6312">
            <w:rPr>
              <w:rFonts w:ascii="Calibri" w:hAnsi="Calibri"/>
              <w:lang w:val="en-GB"/>
            </w:rPr>
            <w:t xml:space="preserve">ce daily treatment </w:t>
          </w:r>
          <w:proofErr w:type="spellStart"/>
          <w:r w:rsidR="001E6312">
            <w:rPr>
              <w:rFonts w:ascii="Calibri" w:hAnsi="Calibri"/>
              <w:lang w:val="en-GB"/>
            </w:rPr>
            <w:t>Rabezol</w:t>
          </w:r>
          <w:proofErr w:type="spellEnd"/>
          <w:r w:rsidRPr="00923853">
            <w:rPr>
              <w:rFonts w:ascii="Calibri" w:hAnsi="Calibri"/>
              <w:lang w:val="en-GB"/>
            </w:rPr>
            <w:t xml:space="preserve"> </w:t>
          </w:r>
          <w:r w:rsidR="009E3D52">
            <w:rPr>
              <w:rFonts w:ascii="Calibri" w:hAnsi="Calibri"/>
              <w:lang w:val="en-GB"/>
            </w:rPr>
            <w:t xml:space="preserve">gastro-resistant </w:t>
          </w:r>
          <w:r w:rsidRPr="00923853">
            <w:rPr>
              <w:rFonts w:ascii="Calibri" w:hAnsi="Calibri"/>
              <w:lang w:val="en-GB"/>
            </w:rPr>
            <w:t xml:space="preserve">tablets should be taken in the morning, before eating; and although neither the time of day nor food intake has shown to have any effect on </w:t>
          </w:r>
          <w:proofErr w:type="spellStart"/>
          <w:r w:rsidRPr="00923853">
            <w:rPr>
              <w:rFonts w:ascii="Calibri" w:hAnsi="Calibri"/>
              <w:lang w:val="en-GB"/>
            </w:rPr>
            <w:t>Rabezol</w:t>
          </w:r>
          <w:proofErr w:type="spellEnd"/>
          <w:r w:rsidRPr="00923853">
            <w:rPr>
              <w:rFonts w:ascii="Calibri" w:hAnsi="Calibri"/>
              <w:lang w:val="en-GB"/>
            </w:rPr>
            <w:t xml:space="preserve"> activity, this regimen will facilitate treatment compliance. Patient should be </w:t>
          </w:r>
          <w:r w:rsidR="00413EA4">
            <w:rPr>
              <w:rFonts w:ascii="Calibri" w:hAnsi="Calibri"/>
              <w:lang w:val="en-GB"/>
            </w:rPr>
            <w:t xml:space="preserve">cautioned that the </w:t>
          </w:r>
          <w:proofErr w:type="spellStart"/>
          <w:r w:rsidR="00413EA4">
            <w:rPr>
              <w:rFonts w:ascii="Calibri" w:hAnsi="Calibri"/>
              <w:lang w:val="en-GB"/>
            </w:rPr>
            <w:t>Rabezol</w:t>
          </w:r>
          <w:proofErr w:type="spellEnd"/>
          <w:r w:rsidRPr="00923853">
            <w:rPr>
              <w:rFonts w:ascii="Calibri" w:hAnsi="Calibri"/>
              <w:lang w:val="en-GB"/>
            </w:rPr>
            <w:t xml:space="preserve"> </w:t>
          </w:r>
          <w:r w:rsidR="009E3D52">
            <w:rPr>
              <w:rFonts w:ascii="Calibri" w:hAnsi="Calibri"/>
              <w:lang w:val="en-GB"/>
            </w:rPr>
            <w:t xml:space="preserve">gastro-resistant </w:t>
          </w:r>
          <w:r w:rsidRPr="00923853">
            <w:rPr>
              <w:rFonts w:ascii="Calibri" w:hAnsi="Calibri"/>
              <w:lang w:val="en-GB"/>
            </w:rPr>
            <w:t xml:space="preserve">tablets should not be chewed or </w:t>
          </w:r>
          <w:r w:rsidR="009E3D52" w:rsidRPr="00923853">
            <w:rPr>
              <w:rFonts w:ascii="Calibri" w:hAnsi="Calibri"/>
              <w:lang w:val="en-GB"/>
            </w:rPr>
            <w:t>crushed;</w:t>
          </w:r>
          <w:r w:rsidR="009E3D52">
            <w:rPr>
              <w:rFonts w:ascii="Calibri" w:hAnsi="Calibri"/>
              <w:lang w:val="en-GB"/>
            </w:rPr>
            <w:t xml:space="preserve"> they </w:t>
          </w:r>
          <w:r w:rsidRPr="00923853">
            <w:rPr>
              <w:rFonts w:ascii="Calibri" w:hAnsi="Calibri"/>
              <w:lang w:val="en-GB"/>
            </w:rPr>
            <w:t xml:space="preserve">should be swallowed whole. </w:t>
          </w:r>
        </w:p>
        <w:p w:rsidR="009E3D52" w:rsidRPr="008E4BA3" w:rsidRDefault="009E3D52" w:rsidP="00772896">
          <w:pPr>
            <w:pStyle w:val="ListParagraph"/>
            <w:spacing w:line="360" w:lineRule="auto"/>
            <w:ind w:left="1440"/>
            <w:rPr>
              <w:rFonts w:asciiTheme="minorHAnsi" w:hAnsiTheme="minorHAnsi"/>
              <w:b/>
            </w:rPr>
          </w:pPr>
        </w:p>
        <w:p w:rsidR="0011316A" w:rsidRPr="0011316A" w:rsidRDefault="00C50B7E" w:rsidP="00772896">
          <w:pPr>
            <w:pStyle w:val="ListParagraph"/>
            <w:spacing w:line="360" w:lineRule="auto"/>
            <w:ind w:left="1440"/>
            <w:rPr>
              <w:rFonts w:asciiTheme="minorHAnsi" w:hAnsiTheme="minorHAnsi"/>
              <w:b/>
              <w:lang w:val="nl-BE"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Contraindications</w:t>
      </w:r>
    </w:p>
    <w:sdt>
      <w:sdtPr>
        <w:rPr>
          <w:rFonts w:asciiTheme="minorHAnsi" w:hAnsiTheme="minorHAnsi"/>
          <w:b/>
        </w:rPr>
        <w:id w:val="943662590"/>
        <w:placeholder>
          <w:docPart w:val="FBFB6A2515C2466B9FD174DDD29FAF26"/>
        </w:placeholder>
      </w:sdtPr>
      <w:sdtEndPr/>
      <w:sdtContent>
        <w:p w:rsidR="00F742C9" w:rsidRDefault="00413EA4" w:rsidP="00772896">
          <w:pPr>
            <w:pStyle w:val="ListParagraph"/>
            <w:numPr>
              <w:ilvl w:val="0"/>
              <w:numId w:val="15"/>
            </w:numPr>
            <w:spacing w:line="360" w:lineRule="auto"/>
            <w:ind w:left="1560"/>
            <w:rPr>
              <w:rFonts w:ascii="Calibri" w:hAnsi="Calibri" w:cs="Arial"/>
            </w:rPr>
          </w:pPr>
          <w:proofErr w:type="spellStart"/>
          <w:r>
            <w:rPr>
              <w:rFonts w:ascii="Calibri" w:hAnsi="Calibri" w:cs="Arial"/>
            </w:rPr>
            <w:t>Rabezol</w:t>
          </w:r>
          <w:proofErr w:type="spellEnd"/>
          <w:r w:rsidR="00F742C9" w:rsidRPr="00F742C9">
            <w:rPr>
              <w:rFonts w:ascii="Calibri" w:hAnsi="Calibri" w:cs="Arial"/>
            </w:rPr>
            <w:t xml:space="preserve"> is contra-indicated in patients with known hypersensitivity to </w:t>
          </w:r>
          <w:proofErr w:type="spellStart"/>
          <w:r w:rsidR="007F6FC3">
            <w:rPr>
              <w:rFonts w:ascii="Calibri" w:hAnsi="Calibri" w:cs="Arial"/>
            </w:rPr>
            <w:t>r</w:t>
          </w:r>
          <w:r w:rsidR="00F742C9" w:rsidRPr="00F742C9">
            <w:rPr>
              <w:rFonts w:ascii="Calibri" w:hAnsi="Calibri" w:cs="Arial"/>
            </w:rPr>
            <w:t>abeprazole</w:t>
          </w:r>
          <w:proofErr w:type="spellEnd"/>
          <w:r w:rsidR="00F742C9" w:rsidRPr="00F742C9">
            <w:rPr>
              <w:rFonts w:ascii="Calibri" w:hAnsi="Calibri" w:cs="Arial"/>
            </w:rPr>
            <w:t xml:space="preserve">, </w:t>
          </w:r>
          <w:r w:rsidR="00B9427A">
            <w:rPr>
              <w:rFonts w:ascii="Calibri" w:hAnsi="Calibri" w:cs="Arial"/>
            </w:rPr>
            <w:t xml:space="preserve">to </w:t>
          </w:r>
          <w:r w:rsidR="009E3D52">
            <w:rPr>
              <w:rFonts w:ascii="Calibri" w:hAnsi="Calibri" w:cs="Arial"/>
            </w:rPr>
            <w:t xml:space="preserve">derivatives of </w:t>
          </w:r>
          <w:proofErr w:type="spellStart"/>
          <w:r w:rsidR="00F742C9" w:rsidRPr="00F742C9">
            <w:rPr>
              <w:rFonts w:ascii="Calibri" w:hAnsi="Calibri" w:cs="Arial"/>
            </w:rPr>
            <w:t>benz</w:t>
          </w:r>
          <w:r w:rsidR="00772896">
            <w:rPr>
              <w:rFonts w:ascii="Calibri" w:hAnsi="Calibri" w:cs="Arial"/>
            </w:rPr>
            <w:t>imidazole</w:t>
          </w:r>
          <w:proofErr w:type="spellEnd"/>
          <w:r w:rsidR="00772896">
            <w:rPr>
              <w:rFonts w:ascii="Calibri" w:hAnsi="Calibri" w:cs="Arial"/>
            </w:rPr>
            <w:t xml:space="preserve"> or to any excipient mentioned in section 6.1</w:t>
          </w:r>
          <w:r w:rsidR="00F742C9" w:rsidRPr="00F742C9">
            <w:rPr>
              <w:rFonts w:ascii="Calibri" w:hAnsi="Calibri" w:cs="Arial"/>
            </w:rPr>
            <w:t>.</w:t>
          </w:r>
        </w:p>
        <w:p w:rsidR="00F742C9" w:rsidRDefault="00413EA4" w:rsidP="00772896">
          <w:pPr>
            <w:pStyle w:val="ListParagraph"/>
            <w:numPr>
              <w:ilvl w:val="0"/>
              <w:numId w:val="15"/>
            </w:numPr>
            <w:spacing w:line="360" w:lineRule="auto"/>
            <w:ind w:left="1560"/>
            <w:rPr>
              <w:rFonts w:ascii="Calibri" w:hAnsi="Calibri" w:cs="Arial"/>
            </w:rPr>
          </w:pPr>
          <w:proofErr w:type="spellStart"/>
          <w:r>
            <w:rPr>
              <w:rFonts w:ascii="Calibri" w:hAnsi="Calibri" w:cs="Arial"/>
            </w:rPr>
            <w:t>Rabezol</w:t>
          </w:r>
          <w:proofErr w:type="spellEnd"/>
          <w:r w:rsidR="00F742C9" w:rsidRPr="00F742C9">
            <w:rPr>
              <w:rFonts w:ascii="Calibri" w:hAnsi="Calibri" w:cs="Arial"/>
            </w:rPr>
            <w:t xml:space="preserve"> is contraindicated in pregnancy and during breast feedi</w:t>
          </w:r>
          <w:r w:rsidR="00F742C9">
            <w:rPr>
              <w:rFonts w:ascii="Calibri" w:hAnsi="Calibri" w:cs="Arial"/>
            </w:rPr>
            <w:t>ng.</w:t>
          </w:r>
        </w:p>
        <w:p w:rsidR="007970DD" w:rsidRPr="00F742C9" w:rsidRDefault="00C50B7E" w:rsidP="00772896">
          <w:pPr>
            <w:pStyle w:val="ListParagraph"/>
            <w:spacing w:line="360" w:lineRule="auto"/>
            <w:ind w:left="1440"/>
            <w:rPr>
              <w:rFonts w:asciiTheme="minorHAnsi" w:hAnsiTheme="minorHAnsi"/>
              <w:b/>
              <w:lang w:val="nl-BE"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Special warning and precautions for use</w:t>
      </w:r>
    </w:p>
    <w:p w:rsidR="007970DD" w:rsidRDefault="007970DD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General information</w:t>
      </w:r>
    </w:p>
    <w:sdt>
      <w:sdtPr>
        <w:rPr>
          <w:rFonts w:asciiTheme="minorHAnsi" w:hAnsiTheme="minorHAnsi"/>
          <w:b/>
        </w:rPr>
        <w:id w:val="-1930340262"/>
        <w:placeholder>
          <w:docPart w:val="FBFB6A2515C2466B9FD174DDD29FAF26"/>
        </w:placeholder>
      </w:sdtPr>
      <w:sdtEndPr/>
      <w:sdtContent>
        <w:p w:rsidR="00675CEE" w:rsidRDefault="00F742C9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1213"/>
            <w:jc w:val="both"/>
            <w:rPr>
              <w:rFonts w:ascii="Calibri" w:hAnsi="Calibri" w:cs="Arial"/>
            </w:rPr>
          </w:pPr>
          <w:r w:rsidRPr="00F742C9">
            <w:rPr>
              <w:rFonts w:ascii="Calibri" w:hAnsi="Calibri" w:cs="Arial"/>
            </w:rPr>
            <w:t xml:space="preserve">Symptomatic response to therapy with </w:t>
          </w:r>
          <w:proofErr w:type="spellStart"/>
          <w:r w:rsidRPr="00F742C9">
            <w:rPr>
              <w:rFonts w:ascii="Calibri" w:hAnsi="Calibri" w:cs="Arial"/>
            </w:rPr>
            <w:t>Rabezol</w:t>
          </w:r>
          <w:proofErr w:type="spellEnd"/>
          <w:r w:rsidRPr="00F742C9">
            <w:rPr>
              <w:rFonts w:ascii="Calibri" w:hAnsi="Calibri" w:cs="Arial"/>
            </w:rPr>
            <w:t xml:space="preserve"> does not </w:t>
          </w:r>
          <w:r w:rsidR="00B9427A">
            <w:rPr>
              <w:rFonts w:ascii="Calibri" w:hAnsi="Calibri" w:cs="Arial"/>
            </w:rPr>
            <w:t>ex</w:t>
          </w:r>
          <w:r w:rsidRPr="00F742C9">
            <w:rPr>
              <w:rFonts w:ascii="Calibri" w:hAnsi="Calibri" w:cs="Arial"/>
            </w:rPr>
            <w:t xml:space="preserve">clude the presence of gastric or </w:t>
          </w:r>
          <w:proofErr w:type="spellStart"/>
          <w:r w:rsidRPr="00F742C9">
            <w:rPr>
              <w:rFonts w:ascii="Calibri" w:hAnsi="Calibri" w:cs="Arial"/>
            </w:rPr>
            <w:t>oesophageal</w:t>
          </w:r>
          <w:proofErr w:type="spellEnd"/>
          <w:r w:rsidRPr="00F742C9">
            <w:rPr>
              <w:rFonts w:ascii="Calibri" w:hAnsi="Calibri" w:cs="Arial"/>
            </w:rPr>
            <w:t xml:space="preserve"> malignancy, therefore the possibility of malignancy should be excluded prior to commencing treatment with </w:t>
          </w:r>
          <w:proofErr w:type="spellStart"/>
          <w:r w:rsidRPr="00F742C9">
            <w:rPr>
              <w:rFonts w:ascii="Calibri" w:hAnsi="Calibri" w:cs="Arial"/>
            </w:rPr>
            <w:t>Rabezol</w:t>
          </w:r>
          <w:proofErr w:type="spellEnd"/>
          <w:r w:rsidRPr="00F742C9">
            <w:rPr>
              <w:rFonts w:ascii="Calibri" w:hAnsi="Calibri" w:cs="Arial"/>
            </w:rPr>
            <w:t xml:space="preserve">. </w:t>
          </w:r>
        </w:p>
        <w:p w:rsidR="00F742C9" w:rsidRDefault="00F742C9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1213"/>
            <w:jc w:val="both"/>
            <w:rPr>
              <w:rFonts w:ascii="Calibri" w:hAnsi="Calibri" w:cs="Arial"/>
            </w:rPr>
          </w:pPr>
          <w:r w:rsidRPr="00F742C9">
            <w:rPr>
              <w:rFonts w:ascii="Calibri" w:hAnsi="Calibri" w:cs="Arial"/>
            </w:rPr>
            <w:t>Patients on long term treatment (particularly those treated for more than a year) should be kept under regular surveillance.</w:t>
          </w:r>
        </w:p>
        <w:p w:rsidR="00772896" w:rsidRDefault="007F6FC3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1213"/>
            <w:jc w:val="both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B</w:t>
          </w:r>
          <w:r w:rsidR="00F742C9" w:rsidRPr="00F742C9">
            <w:rPr>
              <w:rFonts w:ascii="Calibri" w:hAnsi="Calibri" w:cs="Arial"/>
            </w:rPr>
            <w:t xml:space="preserve">ecause there are no clinical data on the use of </w:t>
          </w:r>
          <w:proofErr w:type="spellStart"/>
          <w:r w:rsidR="00F742C9" w:rsidRPr="00F742C9">
            <w:rPr>
              <w:rFonts w:ascii="Calibri" w:hAnsi="Calibri" w:cs="Arial"/>
            </w:rPr>
            <w:t>Rabe</w:t>
          </w:r>
          <w:r w:rsidR="00F742C9">
            <w:rPr>
              <w:rFonts w:ascii="Calibri" w:hAnsi="Calibri" w:cs="Arial"/>
            </w:rPr>
            <w:t>zo</w:t>
          </w:r>
          <w:r w:rsidR="00413EA4">
            <w:rPr>
              <w:rFonts w:ascii="Calibri" w:hAnsi="Calibri" w:cs="Arial"/>
            </w:rPr>
            <w:t>l</w:t>
          </w:r>
          <w:proofErr w:type="spellEnd"/>
          <w:r w:rsidR="00F742C9" w:rsidRPr="00F742C9">
            <w:rPr>
              <w:rFonts w:ascii="Calibri" w:hAnsi="Calibri" w:cs="Arial"/>
            </w:rPr>
            <w:t xml:space="preserve"> in the treatment of patients with severe hepatic dysfunction the prescriber is advised to exercise caut</w:t>
          </w:r>
          <w:r w:rsidR="00413EA4">
            <w:rPr>
              <w:rFonts w:ascii="Calibri" w:hAnsi="Calibri" w:cs="Arial"/>
            </w:rPr>
            <w:t xml:space="preserve">ion when treatment with </w:t>
          </w:r>
          <w:proofErr w:type="spellStart"/>
          <w:r w:rsidR="00413EA4">
            <w:rPr>
              <w:rFonts w:ascii="Calibri" w:hAnsi="Calibri" w:cs="Arial"/>
            </w:rPr>
            <w:t>Rabezol</w:t>
          </w:r>
          <w:proofErr w:type="spellEnd"/>
          <w:r w:rsidR="00F742C9" w:rsidRPr="00F742C9">
            <w:rPr>
              <w:rFonts w:ascii="Calibri" w:hAnsi="Calibri" w:cs="Arial"/>
            </w:rPr>
            <w:t xml:space="preserve"> is first initiated in such patients. </w:t>
          </w:r>
        </w:p>
        <w:p w:rsidR="0038448C" w:rsidRDefault="00F742C9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1213"/>
            <w:jc w:val="both"/>
            <w:rPr>
              <w:rFonts w:ascii="Calibri" w:hAnsi="Calibri" w:cs="Arial"/>
            </w:rPr>
          </w:pPr>
          <w:r w:rsidRPr="00F742C9">
            <w:rPr>
              <w:rFonts w:ascii="Calibri" w:hAnsi="Calibri" w:cs="Arial"/>
            </w:rPr>
            <w:t>A risk of cross-hypersensitivity reactions with other proton pump inhibitor</w:t>
          </w:r>
          <w:r w:rsidR="009E3D52">
            <w:rPr>
              <w:rFonts w:ascii="Calibri" w:hAnsi="Calibri" w:cs="Arial"/>
            </w:rPr>
            <w:t>s</w:t>
          </w:r>
          <w:r w:rsidRPr="00F742C9">
            <w:rPr>
              <w:rFonts w:ascii="Calibri" w:hAnsi="Calibri" w:cs="Arial"/>
            </w:rPr>
            <w:t xml:space="preserve"> or </w:t>
          </w:r>
          <w:r w:rsidR="009E3D52">
            <w:rPr>
              <w:rFonts w:ascii="Calibri" w:hAnsi="Calibri" w:cs="Arial"/>
            </w:rPr>
            <w:t xml:space="preserve">with </w:t>
          </w:r>
          <w:r w:rsidRPr="00F742C9">
            <w:rPr>
              <w:rFonts w:ascii="Calibri" w:hAnsi="Calibri" w:cs="Arial"/>
            </w:rPr>
            <w:t xml:space="preserve">substituted </w:t>
          </w:r>
          <w:proofErr w:type="spellStart"/>
          <w:r w:rsidRPr="00F742C9">
            <w:rPr>
              <w:rFonts w:ascii="Calibri" w:hAnsi="Calibri" w:cs="Arial"/>
            </w:rPr>
            <w:t>benzimidazoles</w:t>
          </w:r>
          <w:proofErr w:type="spellEnd"/>
          <w:r w:rsidRPr="00F742C9">
            <w:rPr>
              <w:rFonts w:ascii="Calibri" w:hAnsi="Calibri" w:cs="Arial"/>
            </w:rPr>
            <w:t xml:space="preserve"> cannot be excluded. </w:t>
          </w:r>
        </w:p>
        <w:p w:rsidR="00DD2CB5" w:rsidRDefault="00F742C9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1213"/>
            <w:jc w:val="both"/>
            <w:rPr>
              <w:rFonts w:ascii="Calibri" w:hAnsi="Calibri" w:cs="Arial"/>
            </w:rPr>
          </w:pPr>
          <w:r w:rsidRPr="00F742C9">
            <w:rPr>
              <w:rFonts w:ascii="Calibri" w:hAnsi="Calibri" w:cs="Arial"/>
            </w:rPr>
            <w:t xml:space="preserve">There have been post marketing reports of blood </w:t>
          </w:r>
          <w:proofErr w:type="spellStart"/>
          <w:r w:rsidRPr="00F742C9">
            <w:rPr>
              <w:rFonts w:ascii="Calibri" w:hAnsi="Calibri" w:cs="Arial"/>
            </w:rPr>
            <w:t>dyscrasias</w:t>
          </w:r>
          <w:proofErr w:type="spellEnd"/>
          <w:r w:rsidRPr="00F742C9">
            <w:rPr>
              <w:rFonts w:ascii="Calibri" w:hAnsi="Calibri" w:cs="Arial"/>
            </w:rPr>
            <w:t xml:space="preserve"> (thrombocytopenia and neutropenia). Hepatic enzyme abnormalities have been seen in clinical trials and have also been reported since </w:t>
          </w:r>
          <w:proofErr w:type="spellStart"/>
          <w:r w:rsidR="00DD2CB5">
            <w:rPr>
              <w:rFonts w:ascii="Calibri" w:hAnsi="Calibri" w:cs="Arial"/>
            </w:rPr>
            <w:t>rabeprazole</w:t>
          </w:r>
          <w:proofErr w:type="spellEnd"/>
          <w:r w:rsidR="00DD2CB5">
            <w:rPr>
              <w:rFonts w:ascii="Calibri" w:hAnsi="Calibri" w:cs="Arial"/>
            </w:rPr>
            <w:t xml:space="preserve"> products are marketed</w:t>
          </w:r>
          <w:r w:rsidRPr="00F742C9">
            <w:rPr>
              <w:rFonts w:ascii="Calibri" w:hAnsi="Calibri" w:cs="Arial"/>
            </w:rPr>
            <w:t xml:space="preserve">. </w:t>
          </w:r>
        </w:p>
        <w:p w:rsidR="007970DD" w:rsidRPr="00557B7F" w:rsidRDefault="00DD2CB5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1213"/>
            <w:jc w:val="both"/>
            <w:rPr>
              <w:rFonts w:asciiTheme="minorHAnsi" w:hAnsiTheme="minorHAnsi"/>
              <w:b/>
              <w:lang w:val="en-GB"/>
            </w:rPr>
          </w:pPr>
          <w:r>
            <w:rPr>
              <w:rFonts w:ascii="Calibri" w:hAnsi="Calibri" w:cs="Arial"/>
            </w:rPr>
            <w:t xml:space="preserve">In the majority of the cases where an alternative etiology cannot be identified, the events were uncomplicated and resolved on discontinuation of </w:t>
          </w:r>
          <w:proofErr w:type="spellStart"/>
          <w:r>
            <w:rPr>
              <w:rFonts w:ascii="Calibri" w:hAnsi="Calibri" w:cs="Arial"/>
            </w:rPr>
            <w:t>rabeprazole</w:t>
          </w:r>
          <w:proofErr w:type="spellEnd"/>
          <w:r w:rsidR="00F742C9" w:rsidRPr="00F742C9">
            <w:rPr>
              <w:rFonts w:ascii="Calibri" w:hAnsi="Calibri" w:cs="Arial"/>
            </w:rPr>
            <w:t xml:space="preserve">. </w:t>
          </w:r>
        </w:p>
      </w:sdtContent>
    </w:sdt>
    <w:p w:rsidR="007970DD" w:rsidRDefault="007970DD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Pediatric population</w:t>
      </w:r>
    </w:p>
    <w:sdt>
      <w:sdtPr>
        <w:rPr>
          <w:rFonts w:asciiTheme="minorHAnsi" w:hAnsiTheme="minorHAnsi"/>
          <w:b/>
        </w:rPr>
        <w:id w:val="1813911940"/>
        <w:placeholder>
          <w:docPart w:val="FBFB6A2515C2466B9FD174DDD29FAF26"/>
        </w:placeholder>
      </w:sdtPr>
      <w:sdtEndPr/>
      <w:sdtContent>
        <w:sdt>
          <w:sdtPr>
            <w:rPr>
              <w:rFonts w:asciiTheme="minorHAnsi" w:hAnsiTheme="minorHAnsi"/>
              <w:b/>
            </w:rPr>
            <w:id w:val="-1010135061"/>
            <w:placeholder>
              <w:docPart w:val="28528D83094340F49FCBC6A81929CD55"/>
            </w:placeholder>
          </w:sdtPr>
          <w:sdtEndPr/>
          <w:sdtContent>
            <w:p w:rsidR="007F6FC3" w:rsidRDefault="007F6FC3" w:rsidP="007F6FC3">
              <w:pPr>
                <w:pStyle w:val="ListParagraph"/>
                <w:spacing w:line="360" w:lineRule="auto"/>
                <w:ind w:left="1224"/>
                <w:rPr>
                  <w:rFonts w:asciiTheme="minorHAnsi" w:eastAsiaTheme="minorHAnsi" w:hAnsiTheme="minorHAnsi"/>
                  <w:b/>
                </w:rPr>
              </w:pPr>
              <w:proofErr w:type="spellStart"/>
              <w:r w:rsidRPr="004025A6">
                <w:rPr>
                  <w:rFonts w:ascii="Calibri" w:hAnsi="Calibri"/>
                  <w:lang w:val="en-GB"/>
                </w:rPr>
                <w:t>Rabezol</w:t>
              </w:r>
              <w:proofErr w:type="spellEnd"/>
              <w:r w:rsidRPr="004025A6">
                <w:rPr>
                  <w:rFonts w:ascii="Calibri" w:hAnsi="Calibri"/>
                  <w:lang w:val="en-GB"/>
                </w:rPr>
                <w:t xml:space="preserve"> is not recommended for use in children, as there is no experience of its use in this group</w:t>
              </w:r>
              <w:r w:rsidR="009E3D52">
                <w:rPr>
                  <w:rFonts w:ascii="Calibri" w:hAnsi="Calibri"/>
                  <w:lang w:val="en-GB"/>
                </w:rPr>
                <w:t xml:space="preserve"> of patients</w:t>
              </w:r>
              <w:r>
                <w:rPr>
                  <w:rFonts w:ascii="Calibri" w:hAnsi="Calibri"/>
                  <w:lang w:val="en-GB"/>
                </w:rPr>
                <w:t>.</w:t>
              </w:r>
            </w:p>
          </w:sdtContent>
        </w:sdt>
        <w:p w:rsidR="007970DD" w:rsidRPr="00C95A97" w:rsidRDefault="00C50B7E" w:rsidP="00772896">
          <w:pPr>
            <w:pStyle w:val="ListParagraph"/>
            <w:spacing w:line="360" w:lineRule="auto"/>
            <w:ind w:left="1440"/>
            <w:rPr>
              <w:rFonts w:asciiTheme="minorHAnsi" w:hAnsiTheme="minorHAnsi"/>
              <w:b/>
              <w:lang w:val="en-GB"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Interactions with other medicinal products and other forms of interactions</w:t>
      </w:r>
    </w:p>
    <w:p w:rsidR="00386479" w:rsidRDefault="00386479" w:rsidP="00772896">
      <w:pPr>
        <w:pStyle w:val="ListParagraph"/>
        <w:spacing w:line="360" w:lineRule="auto"/>
        <w:ind w:left="1224"/>
        <w:rPr>
          <w:rFonts w:asciiTheme="minorHAnsi" w:hAnsiTheme="minorHAnsi"/>
          <w:b/>
        </w:rPr>
      </w:pPr>
    </w:p>
    <w:p w:rsidR="00792744" w:rsidRDefault="00792744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General information</w:t>
      </w:r>
    </w:p>
    <w:sdt>
      <w:sdtPr>
        <w:rPr>
          <w:rFonts w:asciiTheme="minorHAnsi" w:hAnsiTheme="minorHAnsi"/>
          <w:b/>
        </w:rPr>
        <w:id w:val="1214161674"/>
        <w:placeholder>
          <w:docPart w:val="FBFB6A2515C2466B9FD174DDD29FAF26"/>
        </w:placeholder>
      </w:sdtPr>
      <w:sdtEndPr/>
      <w:sdtContent>
        <w:p w:rsidR="0087151B" w:rsidRPr="00772896" w:rsidRDefault="00C25297" w:rsidP="00772896">
          <w:pPr>
            <w:autoSpaceDE w:val="0"/>
            <w:autoSpaceDN w:val="0"/>
            <w:adjustRightInd w:val="0"/>
            <w:spacing w:after="0" w:line="360" w:lineRule="auto"/>
            <w:ind w:left="1227"/>
            <w:rPr>
              <w:rFonts w:asciiTheme="minorHAnsi" w:hAnsiTheme="minorHAnsi"/>
              <w:b/>
              <w:bCs/>
              <w:iCs/>
              <w:kern w:val="0"/>
              <w:lang w:val="en-GB" w:eastAsia="en-US"/>
            </w:rPr>
          </w:pPr>
          <w:r w:rsidRPr="00772896">
            <w:rPr>
              <w:rFonts w:asciiTheme="minorHAnsi" w:hAnsiTheme="minorHAnsi"/>
              <w:b/>
            </w:rPr>
            <w:t>Cytochrome</w:t>
          </w:r>
          <w:r w:rsidR="0087151B" w:rsidRPr="00772896">
            <w:rPr>
              <w:rFonts w:asciiTheme="minorHAnsi" w:hAnsiTheme="minorHAnsi"/>
              <w:b/>
              <w:bCs/>
              <w:iCs/>
              <w:kern w:val="0"/>
              <w:lang w:val="en-GB" w:eastAsia="en-US"/>
            </w:rPr>
            <w:t xml:space="preserve"> P450 System</w:t>
          </w:r>
        </w:p>
        <w:p w:rsidR="00C25297" w:rsidRPr="00BA0EBD" w:rsidRDefault="0087151B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  <w:proofErr w:type="spellStart"/>
          <w:proofErr w:type="gram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</w:t>
          </w:r>
          <w:r w:rsidR="00626C94">
            <w:rPr>
              <w:rFonts w:asciiTheme="minorHAnsi" w:hAnsiTheme="minorHAnsi" w:cs="TimesNewRomanPSMT"/>
              <w:kern w:val="0"/>
              <w:lang w:val="en-GB" w:eastAsia="en-US"/>
            </w:rPr>
            <w:t>e</w:t>
          </w:r>
          <w:proofErr w:type="spellEnd"/>
          <w:r w:rsidR="00626C94">
            <w:rPr>
              <w:rFonts w:asciiTheme="minorHAnsi" w:hAnsiTheme="minorHAnsi" w:cs="TimesNewRomanPSMT"/>
              <w:kern w:val="0"/>
              <w:lang w:val="en-GB" w:eastAsia="en-US"/>
            </w:rPr>
            <w:t xml:space="preserve"> ,</w:t>
          </w:r>
          <w:proofErr w:type="gramEnd"/>
          <w:r w:rsidR="00626C94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="00F82A17">
            <w:rPr>
              <w:rFonts w:asciiTheme="minorHAnsi" w:hAnsiTheme="minorHAnsi" w:cs="TimesNewRomanPSMT"/>
              <w:kern w:val="0"/>
              <w:lang w:val="en-GB" w:eastAsia="en-US"/>
            </w:rPr>
            <w:t xml:space="preserve">a </w:t>
          </w:r>
          <w:r w:rsidR="00626C94">
            <w:rPr>
              <w:rFonts w:asciiTheme="minorHAnsi" w:hAnsiTheme="minorHAnsi" w:cs="TimesNewRomanPSMT"/>
              <w:kern w:val="0"/>
              <w:lang w:val="en-GB" w:eastAsia="en-US"/>
            </w:rPr>
            <w:t>proton pump inhibitor (PPI), like other members of this class of medicines</w:t>
          </w:r>
          <w:r w:rsidR="00F82A17">
            <w:rPr>
              <w:rFonts w:asciiTheme="minorHAnsi" w:hAnsiTheme="minorHAnsi" w:cs="TimesNewRomanPSMT"/>
              <w:kern w:val="0"/>
              <w:lang w:val="en-GB" w:eastAsia="en-US"/>
            </w:rPr>
            <w:t>,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is metabolised via hepatic </w:t>
          </w:r>
          <w:r w:rsidR="00F82A17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cytochrome P450 (CYP450) system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drug metabolism. Specifically, studies with human liver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microsomes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,</w:t>
          </w:r>
          <w:r w:rsidR="00F82A17">
            <w:rPr>
              <w:rFonts w:asciiTheme="minorHAnsi" w:hAnsiTheme="minorHAnsi" w:cs="TimesNewRomanPSMT"/>
              <w:kern w:val="0"/>
              <w:lang w:val="en-GB" w:eastAsia="en-US"/>
            </w:rPr>
            <w:t xml:space="preserve"> show that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="00F82A17">
            <w:rPr>
              <w:rFonts w:asciiTheme="minorHAnsi" w:hAnsiTheme="minorHAnsi" w:cs="TimesNewRomanPSMT"/>
              <w:kern w:val="0"/>
              <w:lang w:val="en-GB" w:eastAsia="en-US"/>
            </w:rPr>
            <w:t>is metabolis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ed by CYP3A4 and CYP2C19 isoenzymes.</w:t>
          </w:r>
        </w:p>
        <w:p w:rsidR="00C25297" w:rsidRPr="00BA0EBD" w:rsidRDefault="00F067BA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  <w:r>
            <w:rPr>
              <w:rFonts w:asciiTheme="minorHAnsi" w:hAnsiTheme="minorHAnsi" w:cs="TimesNewRomanPSMT"/>
              <w:kern w:val="0"/>
              <w:lang w:val="en-GB" w:eastAsia="en-US"/>
            </w:rPr>
            <w:t>In s</w:t>
          </w:r>
          <w:r w:rsidR="00C25297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tudies conducted in healthy subjects 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it is shown </w:t>
          </w:r>
          <w:r w:rsidR="00C25297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that </w:t>
          </w:r>
          <w:proofErr w:type="spellStart"/>
          <w:r w:rsidR="00C25297"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>doesn’t interact in a clinical significant way</w:t>
          </w:r>
          <w:r w:rsidR="00C25297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with warfarin, phenytoin, theophylline, or diazepam and the other drugs which are metabolised by CYP450 system.</w:t>
          </w:r>
        </w:p>
        <w:p w:rsidR="00C25297" w:rsidRPr="00BA0EBD" w:rsidRDefault="00C25297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196E75" w:rsidRPr="00772896" w:rsidRDefault="00196E75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b/>
              <w:kern w:val="0"/>
              <w:lang w:val="en-GB" w:eastAsia="en-US"/>
            </w:rPr>
          </w:pPr>
          <w:r w:rsidRPr="00772896">
            <w:rPr>
              <w:rFonts w:asciiTheme="minorHAnsi" w:hAnsiTheme="minorHAnsi" w:cs="TimesNewRomanPSMT"/>
              <w:b/>
              <w:kern w:val="0"/>
              <w:lang w:val="en-GB" w:eastAsia="en-US"/>
            </w:rPr>
            <w:t>Antibacterial combination therapy</w:t>
          </w:r>
        </w:p>
        <w:p w:rsidR="00557B7F" w:rsidRPr="00BA0EBD" w:rsidRDefault="00196E75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Combination therapy performed with the antimicrobial agents: four-arm crossover study, in 16 healthy volunteers with 20 mg of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, 1000 mg, amoxicillin, 500 mg clarithromycin or a combination with these third agents, i.e.,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, amoxicillin and clarithromycin (RAC).</w:t>
          </w:r>
          <w:r w:rsidR="00675CEE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During the combination therapy, clarithromycin and amoxicillin AUC and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Cmax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values were found similar when compared with monotherapy. When compared with the data obtained during monotherapy, AUC and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Cmax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values of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increased 11% and 34% and AUC and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Cmax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values of 14-hydroxy-clarithromicycin (active clarithromycin metabolite) increased 42% and 46%. This increase to be</w:t>
          </w:r>
          <w:r w:rsidR="00557B7F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exposed to </w:t>
          </w:r>
          <w:proofErr w:type="spellStart"/>
          <w:r w:rsidR="00557B7F"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557B7F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and 14- hydroxyl-</w:t>
          </w:r>
          <w:proofErr w:type="spellStart"/>
          <w:r w:rsidR="00557B7F" w:rsidRPr="00BA0EBD">
            <w:rPr>
              <w:rFonts w:asciiTheme="minorHAnsi" w:hAnsiTheme="minorHAnsi" w:cs="TimesNewRomanPSMT"/>
              <w:kern w:val="0"/>
              <w:lang w:val="en-GB" w:eastAsia="en-US"/>
            </w:rPr>
            <w:t>chlarithromycin</w:t>
          </w:r>
          <w:proofErr w:type="spellEnd"/>
          <w:r w:rsidR="00557B7F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was not found important.</w:t>
          </w:r>
        </w:p>
        <w:p w:rsidR="00557B7F" w:rsidRPr="00BA0EBD" w:rsidRDefault="00557B7F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557B7F" w:rsidRPr="00772896" w:rsidRDefault="00557B7F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b/>
              <w:kern w:val="0"/>
              <w:lang w:val="en-GB" w:eastAsia="en-US"/>
            </w:rPr>
          </w:pPr>
          <w:r w:rsidRPr="00772896">
            <w:rPr>
              <w:rFonts w:asciiTheme="minorHAnsi" w:hAnsiTheme="minorHAnsi" w:cs="TimesNewRomanPSMT"/>
              <w:b/>
              <w:kern w:val="0"/>
              <w:lang w:val="en-GB" w:eastAsia="en-US"/>
            </w:rPr>
            <w:t xml:space="preserve">Interferences </w:t>
          </w:r>
          <w:r w:rsidR="00BA0EBD" w:rsidRPr="00772896">
            <w:rPr>
              <w:rFonts w:asciiTheme="minorHAnsi" w:hAnsiTheme="minorHAnsi" w:cs="TimesNewRomanPSMT"/>
              <w:b/>
              <w:kern w:val="0"/>
              <w:lang w:val="en-GB" w:eastAsia="en-US"/>
            </w:rPr>
            <w:t>due</w:t>
          </w:r>
          <w:r w:rsidRPr="00772896">
            <w:rPr>
              <w:rFonts w:asciiTheme="minorHAnsi" w:hAnsiTheme="minorHAnsi" w:cs="TimesNewRomanPSMT"/>
              <w:b/>
              <w:kern w:val="0"/>
              <w:lang w:val="en-GB" w:eastAsia="en-US"/>
            </w:rPr>
            <w:t xml:space="preserve"> to inhibition of gastric acid secretion</w:t>
          </w:r>
        </w:p>
        <w:p w:rsidR="00496859" w:rsidRPr="00BA0EBD" w:rsidRDefault="00496859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produces a profound and long lasting inhibition of gastric acid secretion.</w:t>
          </w:r>
          <w:r w:rsidR="00A55DB1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An interaction with compounds whose absorption is pH dependent may occur. Co-administration of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with ketoconazole (decreasing of 30 %) or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itraconazole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(increasing of 22 %) may result in a significant decrease in antifungal plasma levels.</w:t>
          </w:r>
        </w:p>
        <w:p w:rsidR="00A55DB1" w:rsidRPr="00BA0EBD" w:rsidRDefault="00496859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lastRenderedPageBreak/>
            <w:t>Therefore individual patients may need to be monitored to determine if a dosage adjustment is</w:t>
          </w:r>
          <w:r w:rsidR="005A5E05"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necessary when ketoconazole or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itraconazole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are taken concomitantly with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.</w:t>
          </w:r>
        </w:p>
        <w:p w:rsidR="00A55DB1" w:rsidRPr="00BA0EBD" w:rsidRDefault="00A55DB1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A55DB1" w:rsidRPr="00772896" w:rsidRDefault="006771EC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b/>
              <w:kern w:val="0"/>
              <w:lang w:val="en-GB" w:eastAsia="en-US"/>
            </w:rPr>
          </w:pPr>
          <w:r w:rsidRPr="00772896">
            <w:rPr>
              <w:rFonts w:asciiTheme="minorHAnsi" w:hAnsiTheme="minorHAnsi" w:cs="TimesNewRomanPSMT"/>
              <w:b/>
              <w:kern w:val="0"/>
              <w:lang w:val="en-GB" w:eastAsia="en-US"/>
            </w:rPr>
            <w:t>Antacids</w:t>
          </w:r>
        </w:p>
        <w:p w:rsidR="005C1562" w:rsidRPr="00BA0EBD" w:rsidRDefault="005A5E05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In clinical studies, antacids were used concomitantly with the administration of </w:t>
          </w:r>
          <w:proofErr w:type="spellStart"/>
          <w:proofErr w:type="gram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.</w:t>
          </w:r>
          <w:proofErr w:type="gram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Also, in a specific drug-drug interaction study, no interaction with liquid antacids (</w:t>
          </w:r>
          <w:r w:rsidR="006771EC" w:rsidRPr="00BA0EBD">
            <w:rPr>
              <w:rFonts w:asciiTheme="minorHAnsi" w:hAnsiTheme="minorHAnsi" w:cs="TimesNewRomanPSMT"/>
              <w:kern w:val="0"/>
              <w:lang w:val="en-GB" w:eastAsia="en-US"/>
            </w:rPr>
            <w:t>aluminium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hydroxide gel or magnesium hydroxide) was observed.</w:t>
          </w:r>
        </w:p>
        <w:p w:rsidR="005C1562" w:rsidRPr="00BA0EBD" w:rsidRDefault="005C1562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C2357C" w:rsidRPr="00772896" w:rsidRDefault="00C2357C" w:rsidP="00772896">
          <w:pPr>
            <w:autoSpaceDE w:val="0"/>
            <w:autoSpaceDN w:val="0"/>
            <w:adjustRightInd w:val="0"/>
            <w:spacing w:after="0" w:line="360" w:lineRule="auto"/>
            <w:ind w:left="1228"/>
            <w:rPr>
              <w:rFonts w:asciiTheme="minorHAnsi" w:hAnsiTheme="minorHAnsi"/>
              <w:b/>
              <w:lang w:val="en-GB"/>
            </w:rPr>
          </w:pPr>
          <w:r w:rsidRPr="00772896">
            <w:rPr>
              <w:rFonts w:asciiTheme="minorHAnsi" w:hAnsiTheme="minorHAnsi" w:cs="TimesNewRomanPSMT"/>
              <w:b/>
              <w:kern w:val="0"/>
              <w:lang w:val="en-GB" w:eastAsia="en-US"/>
            </w:rPr>
            <w:t>Cyclosporine</w:t>
          </w:r>
        </w:p>
        <w:p w:rsidR="005C1562" w:rsidRPr="00BA0EBD" w:rsidRDefault="00C2357C" w:rsidP="00772896">
          <w:pPr>
            <w:autoSpaceDE w:val="0"/>
            <w:autoSpaceDN w:val="0"/>
            <w:adjustRightInd w:val="0"/>
            <w:spacing w:after="0" w:line="360" w:lineRule="auto"/>
            <w:ind w:left="1230"/>
            <w:rPr>
              <w:rFonts w:asciiTheme="minorHAnsi" w:hAnsiTheme="minorHAnsi"/>
              <w:b/>
              <w:lang w:val="en-GB"/>
            </w:rPr>
          </w:pP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Human liver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microsomes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are used in vitro (in a laboratory) incubations,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</w:t>
          </w:r>
          <w:r w:rsidR="006771EC">
            <w:rPr>
              <w:rFonts w:asciiTheme="minorHAnsi" w:hAnsiTheme="minorHAnsi" w:cs="TimesNewRomanPSMT"/>
              <w:kern w:val="0"/>
              <w:lang w:val="en-GB" w:eastAsia="en-US"/>
            </w:rPr>
            <w:t>e</w:t>
          </w:r>
          <w:proofErr w:type="spellEnd"/>
          <w:r w:rsidR="006771EC">
            <w:rPr>
              <w:rFonts w:asciiTheme="minorHAnsi" w:hAnsiTheme="minorHAnsi" w:cs="TimesNewRomanPSMT"/>
              <w:kern w:val="0"/>
              <w:lang w:val="en-GB" w:eastAsia="en-US"/>
            </w:rPr>
            <w:t>, cyclosporine metabolism 62 mic</w:t>
          </w:r>
          <w:r w:rsidR="006771EC" w:rsidRPr="00BA0EBD">
            <w:rPr>
              <w:rFonts w:asciiTheme="minorHAnsi" w:hAnsiTheme="minorHAnsi" w:cs="TimesNewRomanPSMT"/>
              <w:kern w:val="0"/>
              <w:lang w:val="en-GB" w:eastAsia="en-US"/>
            </w:rPr>
            <w:t>romole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with an IC50 inhibited revealed that, said this concentration for 14 days, 20 mg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administered in healthy volunteers detected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Cmax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50 times higher. This degree of inhibition equivalent to that provided by at concentrations close to omeprazole.</w:t>
          </w:r>
        </w:p>
        <w:p w:rsidR="005C1562" w:rsidRPr="00BA0EBD" w:rsidRDefault="005C1562" w:rsidP="00772896">
          <w:pPr>
            <w:tabs>
              <w:tab w:val="left" w:pos="1648"/>
            </w:tabs>
            <w:autoSpaceDE w:val="0"/>
            <w:autoSpaceDN w:val="0"/>
            <w:adjustRightInd w:val="0"/>
            <w:spacing w:after="0" w:line="360" w:lineRule="auto"/>
            <w:ind w:left="1230"/>
            <w:rPr>
              <w:rFonts w:asciiTheme="minorHAnsi" w:hAnsiTheme="minorHAnsi"/>
              <w:b/>
              <w:lang w:val="en-GB"/>
            </w:rPr>
          </w:pPr>
        </w:p>
        <w:p w:rsidR="00BA0EBD" w:rsidRPr="00772896" w:rsidRDefault="005C4B63" w:rsidP="00772896">
          <w:pPr>
            <w:tabs>
              <w:tab w:val="left" w:pos="1648"/>
            </w:tabs>
            <w:autoSpaceDE w:val="0"/>
            <w:autoSpaceDN w:val="0"/>
            <w:adjustRightInd w:val="0"/>
            <w:spacing w:after="0" w:line="360" w:lineRule="auto"/>
            <w:ind w:left="1230"/>
            <w:rPr>
              <w:rFonts w:asciiTheme="minorHAnsi" w:hAnsiTheme="minorHAnsi"/>
              <w:b/>
              <w:lang w:val="en-GB"/>
            </w:rPr>
          </w:pPr>
          <w:proofErr w:type="spellStart"/>
          <w:r>
            <w:rPr>
              <w:rFonts w:asciiTheme="minorHAnsi" w:hAnsiTheme="minorHAnsi"/>
              <w:b/>
              <w:lang w:val="en-GB"/>
            </w:rPr>
            <w:t>A</w:t>
          </w:r>
          <w:r w:rsidR="00BA0EBD" w:rsidRPr="00772896">
            <w:rPr>
              <w:rFonts w:asciiTheme="minorHAnsi" w:hAnsiTheme="minorHAnsi"/>
              <w:b/>
              <w:lang w:val="en-GB"/>
            </w:rPr>
            <w:t>tazanavir</w:t>
          </w:r>
          <w:proofErr w:type="spellEnd"/>
        </w:p>
        <w:p w:rsidR="00343748" w:rsidRDefault="00BA0EBD" w:rsidP="00772896">
          <w:pPr>
            <w:autoSpaceDE w:val="0"/>
            <w:autoSpaceDN w:val="0"/>
            <w:adjustRightInd w:val="0"/>
            <w:spacing w:after="0" w:line="360" w:lineRule="auto"/>
            <w:ind w:left="123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Co-administration of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atazanavir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300mg/ritonavir 10 mg with omeprazole (40 mg once daily)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or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atazanavir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400 mg with lansoprazole (60 mg once daily) to healthy volunteers resulted in a</w:t>
          </w:r>
          <w:r w:rsidR="006771EC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substantial reduction in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atazanavir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exposure. The absorption of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atazanavir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 is pH dependent.</w:t>
          </w:r>
          <w:r w:rsidR="00772896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Although not studied, similar results are expected with other proton pump inhibitors.</w:t>
          </w:r>
          <w:r w:rsidR="00300293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Therefore PPIs, including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 xml:space="preserve">, should not be co-administered with </w:t>
          </w:r>
          <w:proofErr w:type="spellStart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atazanavir</w:t>
          </w:r>
          <w:proofErr w:type="spellEnd"/>
          <w:r w:rsidRPr="00BA0EBD">
            <w:rPr>
              <w:rFonts w:asciiTheme="minorHAnsi" w:hAnsiTheme="minorHAnsi" w:cs="TimesNewRomanPSMT"/>
              <w:kern w:val="0"/>
              <w:lang w:val="en-GB" w:eastAsia="en-US"/>
            </w:rPr>
            <w:t>.</w:t>
          </w:r>
        </w:p>
        <w:p w:rsidR="00B3775E" w:rsidRPr="00BA0EBD" w:rsidRDefault="00C50B7E" w:rsidP="00772896">
          <w:pPr>
            <w:autoSpaceDE w:val="0"/>
            <w:autoSpaceDN w:val="0"/>
            <w:adjustRightInd w:val="0"/>
            <w:spacing w:after="0" w:line="360" w:lineRule="auto"/>
            <w:ind w:left="1230"/>
            <w:rPr>
              <w:rFonts w:asciiTheme="minorHAnsi" w:hAnsiTheme="minorHAnsi"/>
              <w:b/>
              <w:lang w:val="en-GB"/>
            </w:rPr>
          </w:pPr>
        </w:p>
      </w:sdtContent>
    </w:sdt>
    <w:p w:rsidR="00792744" w:rsidRDefault="00792744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Additional information on special populations</w:t>
      </w:r>
    </w:p>
    <w:sdt>
      <w:sdtPr>
        <w:rPr>
          <w:rFonts w:asciiTheme="minorHAnsi" w:hAnsiTheme="minorHAnsi"/>
        </w:rPr>
        <w:id w:val="-563870069"/>
        <w:placeholder>
          <w:docPart w:val="FBFB6A2515C2466B9FD174DDD29FAF26"/>
        </w:placeholder>
        <w:text/>
      </w:sdtPr>
      <w:sdtEndPr/>
      <w:sdtContent>
        <w:p w:rsidR="00B3775E" w:rsidRPr="00D51042" w:rsidRDefault="00D51042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b/>
              <w:lang w:val="en-GB"/>
            </w:rPr>
          </w:pPr>
          <w:r w:rsidRPr="00D51042">
            <w:rPr>
              <w:rFonts w:asciiTheme="minorHAnsi" w:hAnsiTheme="minorHAnsi"/>
            </w:rPr>
            <w:t>No additional information</w:t>
          </w:r>
          <w:r w:rsidR="00772896">
            <w:rPr>
              <w:rFonts w:asciiTheme="minorHAnsi" w:hAnsiTheme="minorHAnsi"/>
            </w:rPr>
            <w:t xml:space="preserve"> available</w:t>
          </w:r>
          <w:r>
            <w:rPr>
              <w:rFonts w:asciiTheme="minorHAnsi" w:hAnsiTheme="minorHAnsi"/>
            </w:rPr>
            <w:t>.</w:t>
          </w:r>
        </w:p>
      </w:sdtContent>
    </w:sdt>
    <w:p w:rsidR="00792744" w:rsidRDefault="00792744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Pediatric population</w:t>
      </w:r>
    </w:p>
    <w:sdt>
      <w:sdtPr>
        <w:rPr>
          <w:rFonts w:asciiTheme="minorHAnsi" w:hAnsiTheme="minorHAnsi"/>
          <w:b/>
        </w:rPr>
        <w:id w:val="391014773"/>
        <w:placeholder>
          <w:docPart w:val="FBFB6A2515C2466B9FD174DDD29FAF26"/>
        </w:placeholder>
      </w:sdtPr>
      <w:sdtEndPr>
        <w:rPr>
          <w:b w:val="0"/>
        </w:rPr>
      </w:sdtEndPr>
      <w:sdtContent>
        <w:sdt>
          <w:sdtPr>
            <w:rPr>
              <w:rFonts w:asciiTheme="minorHAnsi" w:hAnsiTheme="minorHAnsi"/>
              <w:b/>
            </w:rPr>
            <w:id w:val="-1079912472"/>
            <w:placeholder>
              <w:docPart w:val="16DCD4ABF8724CA8A87C127A886F59EA"/>
            </w:placeholder>
          </w:sdtPr>
          <w:sdtEndPr/>
          <w:sdtContent>
            <w:p w:rsidR="007F6FC3" w:rsidRDefault="007F6FC3" w:rsidP="007F6FC3">
              <w:pPr>
                <w:pStyle w:val="ListParagraph"/>
                <w:spacing w:line="360" w:lineRule="auto"/>
                <w:ind w:left="1224"/>
                <w:rPr>
                  <w:rFonts w:asciiTheme="minorHAnsi" w:eastAsiaTheme="minorHAnsi" w:hAnsiTheme="minorHAnsi"/>
                  <w:b/>
                </w:rPr>
              </w:pPr>
              <w:proofErr w:type="spellStart"/>
              <w:r w:rsidRPr="004025A6">
                <w:rPr>
                  <w:rFonts w:ascii="Calibri" w:hAnsi="Calibri"/>
                  <w:lang w:val="en-GB"/>
                </w:rPr>
                <w:t>Rabezol</w:t>
              </w:r>
              <w:proofErr w:type="spellEnd"/>
              <w:r w:rsidRPr="004025A6">
                <w:rPr>
                  <w:rFonts w:ascii="Calibri" w:hAnsi="Calibri"/>
                  <w:lang w:val="en-GB"/>
                </w:rPr>
                <w:t xml:space="preserve"> is not recommended for use in children, as there is no experience of its use in this group</w:t>
              </w:r>
              <w:r w:rsidR="00F067BA">
                <w:rPr>
                  <w:rFonts w:ascii="Calibri" w:hAnsi="Calibri"/>
                  <w:lang w:val="en-GB"/>
                </w:rPr>
                <w:t xml:space="preserve"> of patients</w:t>
              </w:r>
              <w:r>
                <w:rPr>
                  <w:rFonts w:ascii="Calibri" w:hAnsi="Calibri"/>
                  <w:lang w:val="en-GB"/>
                </w:rPr>
                <w:t>.</w:t>
              </w:r>
            </w:p>
          </w:sdtContent>
        </w:sdt>
        <w:p w:rsidR="00B3775E" w:rsidRPr="00343748" w:rsidRDefault="00C50B7E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nl-BE"/>
            </w:rPr>
          </w:pPr>
        </w:p>
      </w:sdtContent>
    </w:sdt>
    <w:p w:rsidR="00AE30FE" w:rsidRDefault="007F6FC3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 xml:space="preserve">Pregnancy, </w:t>
      </w:r>
      <w:r w:rsidR="00AE30FE" w:rsidRPr="006771EC">
        <w:rPr>
          <w:rFonts w:asciiTheme="minorHAnsi" w:hAnsiTheme="minorHAnsi"/>
          <w:b/>
          <w:lang w:val="en-GB"/>
        </w:rPr>
        <w:t>lactation</w:t>
      </w:r>
      <w:r w:rsidRPr="007F6FC3">
        <w:rPr>
          <w:rFonts w:asciiTheme="minorHAnsi" w:hAnsiTheme="minorHAnsi"/>
          <w:b/>
          <w:lang w:val="en-GB"/>
        </w:rPr>
        <w:t xml:space="preserve"> </w:t>
      </w:r>
      <w:r>
        <w:rPr>
          <w:rFonts w:asciiTheme="minorHAnsi" w:hAnsiTheme="minorHAnsi"/>
          <w:b/>
          <w:lang w:val="en-GB"/>
        </w:rPr>
        <w:t>and f</w:t>
      </w:r>
      <w:r w:rsidRPr="006771EC">
        <w:rPr>
          <w:rFonts w:asciiTheme="minorHAnsi" w:hAnsiTheme="minorHAnsi"/>
          <w:b/>
          <w:lang w:val="en-GB"/>
        </w:rPr>
        <w:t>ertility</w:t>
      </w:r>
    </w:p>
    <w:p w:rsidR="00386479" w:rsidRPr="006771EC" w:rsidRDefault="00386479" w:rsidP="00772896">
      <w:pPr>
        <w:pStyle w:val="ListParagraph"/>
        <w:spacing w:line="360" w:lineRule="auto"/>
        <w:ind w:left="792"/>
        <w:rPr>
          <w:rFonts w:asciiTheme="minorHAnsi" w:hAnsiTheme="minorHAnsi"/>
          <w:b/>
          <w:lang w:val="en-GB"/>
        </w:rPr>
      </w:pPr>
    </w:p>
    <w:p w:rsidR="00DC4881" w:rsidRPr="006771EC" w:rsidRDefault="00DC4881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6771EC">
        <w:rPr>
          <w:rFonts w:asciiTheme="minorHAnsi" w:hAnsiTheme="minorHAnsi"/>
          <w:b/>
          <w:lang w:val="en-GB"/>
        </w:rPr>
        <w:t>Pregnancy</w:t>
      </w:r>
    </w:p>
    <w:sdt>
      <w:sdtPr>
        <w:rPr>
          <w:rFonts w:asciiTheme="minorHAnsi" w:hAnsiTheme="minorHAnsi"/>
          <w:b/>
          <w:lang w:val="en-GB"/>
        </w:rPr>
        <w:id w:val="535859018"/>
        <w:placeholder>
          <w:docPart w:val="FBFB6A2515C2466B9FD174DDD29FAF26"/>
        </w:placeholder>
      </w:sdtPr>
      <w:sdtEndPr/>
      <w:sdtContent>
        <w:p w:rsidR="00882E75" w:rsidRPr="006771EC" w:rsidRDefault="00882E75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en-GB"/>
            </w:rPr>
          </w:pPr>
          <w:r w:rsidRPr="006771EC">
            <w:rPr>
              <w:rFonts w:asciiTheme="minorHAnsi" w:hAnsiTheme="minorHAnsi"/>
              <w:lang w:val="en-GB"/>
            </w:rPr>
            <w:t xml:space="preserve">There are no clinical data on the safety of </w:t>
          </w:r>
          <w:proofErr w:type="spellStart"/>
          <w:r w:rsidRPr="006771EC">
            <w:rPr>
              <w:rFonts w:asciiTheme="minorHAnsi" w:hAnsiTheme="minorHAnsi"/>
              <w:lang w:val="en-GB"/>
            </w:rPr>
            <w:t>rabeprazole</w:t>
          </w:r>
          <w:proofErr w:type="spellEnd"/>
          <w:r w:rsidRPr="006771EC">
            <w:rPr>
              <w:rFonts w:asciiTheme="minorHAnsi" w:hAnsiTheme="minorHAnsi"/>
              <w:lang w:val="en-GB"/>
            </w:rPr>
            <w:t xml:space="preserve"> in human pregnancy. Reproduction studies performed in rats and </w:t>
          </w:r>
          <w:r w:rsidR="006771EC" w:rsidRPr="006771EC">
            <w:rPr>
              <w:rFonts w:asciiTheme="minorHAnsi" w:hAnsiTheme="minorHAnsi"/>
              <w:lang w:val="en-GB"/>
            </w:rPr>
            <w:t>rabbits</w:t>
          </w:r>
          <w:r w:rsidRPr="006771EC">
            <w:rPr>
              <w:rFonts w:asciiTheme="minorHAnsi" w:hAnsiTheme="minorHAnsi"/>
              <w:lang w:val="en-GB"/>
            </w:rPr>
            <w:t xml:space="preserve"> have revealed no evidence of impaired fertility or harm to the foetus </w:t>
          </w:r>
          <w:r w:rsidR="006771EC" w:rsidRPr="006771EC">
            <w:rPr>
              <w:rFonts w:asciiTheme="minorHAnsi" w:hAnsiTheme="minorHAnsi"/>
              <w:lang w:val="en-GB"/>
            </w:rPr>
            <w:t>due</w:t>
          </w:r>
          <w:r w:rsidRPr="006771EC">
            <w:rPr>
              <w:rFonts w:asciiTheme="minorHAnsi" w:hAnsiTheme="minorHAnsi"/>
              <w:lang w:val="en-GB"/>
            </w:rPr>
            <w:t xml:space="preserve"> to </w:t>
          </w:r>
          <w:proofErr w:type="spellStart"/>
          <w:r w:rsidRPr="006771EC">
            <w:rPr>
              <w:rFonts w:asciiTheme="minorHAnsi" w:hAnsiTheme="minorHAnsi"/>
              <w:lang w:val="en-GB"/>
            </w:rPr>
            <w:t>rabeprazole</w:t>
          </w:r>
          <w:proofErr w:type="spellEnd"/>
          <w:r w:rsidRPr="006771EC">
            <w:rPr>
              <w:rFonts w:asciiTheme="minorHAnsi" w:hAnsiTheme="minorHAnsi"/>
              <w:lang w:val="en-GB"/>
            </w:rPr>
            <w:t xml:space="preserve">, although </w:t>
          </w:r>
          <w:proofErr w:type="spellStart"/>
          <w:r w:rsidRPr="006771EC">
            <w:rPr>
              <w:rFonts w:asciiTheme="minorHAnsi" w:hAnsiTheme="minorHAnsi"/>
              <w:lang w:val="en-GB"/>
            </w:rPr>
            <w:t>foeto</w:t>
          </w:r>
          <w:proofErr w:type="spellEnd"/>
          <w:r w:rsidRPr="006771EC">
            <w:rPr>
              <w:rFonts w:asciiTheme="minorHAnsi" w:hAnsiTheme="minorHAnsi"/>
              <w:lang w:val="en-GB"/>
            </w:rPr>
            <w:t>-placent</w:t>
          </w:r>
          <w:r w:rsidR="006771EC">
            <w:rPr>
              <w:rFonts w:asciiTheme="minorHAnsi" w:hAnsiTheme="minorHAnsi"/>
              <w:lang w:val="en-GB"/>
            </w:rPr>
            <w:t>al</w:t>
          </w:r>
          <w:r w:rsidRPr="006771EC">
            <w:rPr>
              <w:rFonts w:asciiTheme="minorHAnsi" w:hAnsiTheme="minorHAnsi"/>
              <w:lang w:val="en-GB"/>
            </w:rPr>
            <w:t xml:space="preserve"> transfer occurs in </w:t>
          </w:r>
          <w:r w:rsidR="00F067BA" w:rsidRPr="006771EC">
            <w:rPr>
              <w:rFonts w:asciiTheme="minorHAnsi" w:hAnsiTheme="minorHAnsi"/>
              <w:lang w:val="en-GB"/>
            </w:rPr>
            <w:t>rats.</w:t>
          </w:r>
        </w:p>
        <w:p w:rsidR="00A8339B" w:rsidRPr="006771EC" w:rsidRDefault="00882E75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b/>
              <w:lang w:val="en-GB"/>
            </w:rPr>
          </w:pPr>
          <w:proofErr w:type="spellStart"/>
          <w:r w:rsidRPr="006771EC">
            <w:rPr>
              <w:rFonts w:asciiTheme="minorHAnsi" w:hAnsiTheme="minorHAnsi"/>
              <w:lang w:val="en-GB"/>
            </w:rPr>
            <w:t>Rabeprazole</w:t>
          </w:r>
          <w:proofErr w:type="spellEnd"/>
          <w:r w:rsidR="00F067BA">
            <w:rPr>
              <w:rFonts w:asciiTheme="minorHAnsi" w:hAnsiTheme="minorHAnsi"/>
              <w:lang w:val="en-GB"/>
            </w:rPr>
            <w:t xml:space="preserve"> gastro-resistant </w:t>
          </w:r>
          <w:r w:rsidR="00F067BA" w:rsidRPr="006771EC">
            <w:rPr>
              <w:rFonts w:asciiTheme="minorHAnsi" w:hAnsiTheme="minorHAnsi"/>
              <w:lang w:val="en-GB"/>
            </w:rPr>
            <w:t>tablets</w:t>
          </w:r>
          <w:r w:rsidRPr="006771EC">
            <w:rPr>
              <w:rFonts w:asciiTheme="minorHAnsi" w:hAnsiTheme="minorHAnsi"/>
              <w:lang w:val="en-GB"/>
            </w:rPr>
            <w:t xml:space="preserve"> are contraindicated during pregnancy</w:t>
          </w:r>
          <w:r w:rsidRPr="006771EC">
            <w:rPr>
              <w:rFonts w:asciiTheme="minorHAnsi" w:hAnsiTheme="minorHAnsi"/>
              <w:b/>
              <w:lang w:val="en-GB"/>
            </w:rPr>
            <w:t>.</w:t>
          </w:r>
        </w:p>
        <w:p w:rsidR="00DC4881" w:rsidRPr="006771EC" w:rsidRDefault="00C50B7E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b/>
              <w:lang w:val="en-GB"/>
            </w:rPr>
          </w:pPr>
        </w:p>
      </w:sdtContent>
    </w:sdt>
    <w:p w:rsidR="00DC4881" w:rsidRPr="006771EC" w:rsidRDefault="00DC4881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6771EC">
        <w:rPr>
          <w:rFonts w:asciiTheme="minorHAnsi" w:hAnsiTheme="minorHAnsi"/>
          <w:b/>
          <w:lang w:val="en-GB"/>
        </w:rPr>
        <w:t>Lactation</w:t>
      </w:r>
    </w:p>
    <w:sdt>
      <w:sdtPr>
        <w:rPr>
          <w:rFonts w:asciiTheme="minorHAnsi" w:hAnsiTheme="minorHAnsi"/>
          <w:lang w:val="en-GB"/>
        </w:rPr>
        <w:id w:val="-1664996023"/>
        <w:placeholder>
          <w:docPart w:val="FBFB6A2515C2466B9FD174DDD29FAF26"/>
        </w:placeholder>
      </w:sdtPr>
      <w:sdtEndPr/>
      <w:sdtContent>
        <w:p w:rsidR="00713078" w:rsidRDefault="003675B6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en-GB"/>
            </w:rPr>
          </w:pPr>
          <w:r w:rsidRPr="006771EC">
            <w:rPr>
              <w:rFonts w:asciiTheme="minorHAnsi" w:hAnsiTheme="minorHAnsi"/>
              <w:lang w:val="en-GB"/>
            </w:rPr>
            <w:t xml:space="preserve">It is not known whether </w:t>
          </w:r>
          <w:proofErr w:type="spellStart"/>
          <w:r w:rsidRPr="006771EC">
            <w:rPr>
              <w:rFonts w:asciiTheme="minorHAnsi" w:hAnsiTheme="minorHAnsi"/>
              <w:lang w:val="en-GB"/>
            </w:rPr>
            <w:t>rabepr</w:t>
          </w:r>
          <w:r w:rsidR="006771EC">
            <w:rPr>
              <w:rFonts w:asciiTheme="minorHAnsi" w:hAnsiTheme="minorHAnsi"/>
              <w:lang w:val="en-GB"/>
            </w:rPr>
            <w:t>a</w:t>
          </w:r>
          <w:r w:rsidRPr="006771EC">
            <w:rPr>
              <w:rFonts w:asciiTheme="minorHAnsi" w:hAnsiTheme="minorHAnsi"/>
              <w:lang w:val="en-GB"/>
            </w:rPr>
            <w:t>zole</w:t>
          </w:r>
          <w:proofErr w:type="spellEnd"/>
          <w:r w:rsidR="006A58D7" w:rsidRPr="006771EC">
            <w:rPr>
              <w:rFonts w:asciiTheme="minorHAnsi" w:hAnsiTheme="minorHAnsi"/>
              <w:lang w:val="en-GB"/>
            </w:rPr>
            <w:t xml:space="preserve"> is excreted in human breast milk. No studies in lactating women have been performed. </w:t>
          </w:r>
          <w:proofErr w:type="spellStart"/>
          <w:r w:rsidR="006A58D7" w:rsidRPr="006771EC">
            <w:rPr>
              <w:rFonts w:asciiTheme="minorHAnsi" w:hAnsiTheme="minorHAnsi"/>
              <w:lang w:val="en-GB"/>
            </w:rPr>
            <w:t>Rabeprazole</w:t>
          </w:r>
          <w:proofErr w:type="spellEnd"/>
          <w:r w:rsidR="006A58D7" w:rsidRPr="006771EC">
            <w:rPr>
              <w:rFonts w:asciiTheme="minorHAnsi" w:hAnsiTheme="minorHAnsi"/>
              <w:lang w:val="en-GB"/>
            </w:rPr>
            <w:t xml:space="preserve"> is however excreted in rat mammary secre</w:t>
          </w:r>
          <w:r w:rsidR="00713078">
            <w:rPr>
              <w:rFonts w:asciiTheme="minorHAnsi" w:hAnsiTheme="minorHAnsi"/>
              <w:lang w:val="en-GB"/>
            </w:rPr>
            <w:t>tions.</w:t>
          </w:r>
        </w:p>
        <w:p w:rsidR="00A8339B" w:rsidRPr="006771EC" w:rsidRDefault="006A58D7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en-GB"/>
            </w:rPr>
          </w:pPr>
          <w:r w:rsidRPr="006771EC">
            <w:rPr>
              <w:rFonts w:asciiTheme="minorHAnsi" w:hAnsiTheme="minorHAnsi"/>
              <w:lang w:val="en-GB"/>
            </w:rPr>
            <w:t xml:space="preserve">Therefore </w:t>
          </w:r>
          <w:proofErr w:type="spellStart"/>
          <w:r w:rsidRPr="006771EC">
            <w:rPr>
              <w:rFonts w:asciiTheme="minorHAnsi" w:hAnsiTheme="minorHAnsi"/>
              <w:lang w:val="en-GB"/>
            </w:rPr>
            <w:t>Rabezol</w:t>
          </w:r>
          <w:proofErr w:type="spellEnd"/>
          <w:r w:rsidRPr="006771EC">
            <w:rPr>
              <w:rFonts w:asciiTheme="minorHAnsi" w:hAnsiTheme="minorHAnsi"/>
              <w:lang w:val="en-GB"/>
            </w:rPr>
            <w:t xml:space="preserve"> should not be used during breast feeding.</w:t>
          </w:r>
        </w:p>
        <w:p w:rsidR="00DC4881" w:rsidRPr="006771EC" w:rsidRDefault="00C50B7E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en-GB"/>
            </w:rPr>
          </w:pPr>
        </w:p>
      </w:sdtContent>
    </w:sdt>
    <w:p w:rsidR="00DC4881" w:rsidRPr="006771EC" w:rsidRDefault="00DC4881" w:rsidP="00772896">
      <w:pPr>
        <w:pStyle w:val="ListParagraph"/>
        <w:numPr>
          <w:ilvl w:val="2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6771EC">
        <w:rPr>
          <w:rFonts w:asciiTheme="minorHAnsi" w:hAnsiTheme="minorHAnsi"/>
          <w:b/>
          <w:lang w:val="en-GB"/>
        </w:rPr>
        <w:t>Fertility</w:t>
      </w:r>
    </w:p>
    <w:sdt>
      <w:sdtPr>
        <w:rPr>
          <w:rFonts w:asciiTheme="minorHAnsi" w:hAnsiTheme="minorHAnsi"/>
          <w:lang w:val="en-GB"/>
        </w:rPr>
        <w:id w:val="-1098480623"/>
        <w:placeholder>
          <w:docPart w:val="FBFB6A2515C2466B9FD174DDD29FAF26"/>
        </w:placeholder>
      </w:sdtPr>
      <w:sdtEndPr>
        <w:rPr>
          <w:lang w:val="en-US"/>
        </w:rPr>
      </w:sdtEndPr>
      <w:sdtContent>
        <w:p w:rsidR="00A8339B" w:rsidRPr="006771EC" w:rsidRDefault="00A8339B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en-GB"/>
            </w:rPr>
          </w:pPr>
          <w:r w:rsidRPr="006771EC">
            <w:rPr>
              <w:rFonts w:asciiTheme="minorHAnsi" w:hAnsiTheme="minorHAnsi"/>
              <w:lang w:val="en-GB"/>
            </w:rPr>
            <w:t>Reproductive studie</w:t>
          </w:r>
          <w:r w:rsidR="00F067BA">
            <w:rPr>
              <w:rFonts w:asciiTheme="minorHAnsi" w:hAnsiTheme="minorHAnsi"/>
              <w:lang w:val="en-GB"/>
            </w:rPr>
            <w:t>s conducted in rats and rabbits</w:t>
          </w:r>
          <w:r w:rsidRPr="006771EC">
            <w:rPr>
              <w:rFonts w:asciiTheme="minorHAnsi" w:hAnsiTheme="minorHAnsi"/>
              <w:lang w:val="en-GB"/>
            </w:rPr>
            <w:t xml:space="preserve"> do not show the deterioration in fertility due to </w:t>
          </w:r>
          <w:proofErr w:type="spellStart"/>
          <w:r w:rsidRPr="006771EC">
            <w:rPr>
              <w:rFonts w:asciiTheme="minorHAnsi" w:hAnsiTheme="minorHAnsi"/>
              <w:lang w:val="en-GB"/>
            </w:rPr>
            <w:t>rabeprazole</w:t>
          </w:r>
          <w:proofErr w:type="spellEnd"/>
          <w:r w:rsidRPr="006771EC">
            <w:rPr>
              <w:rFonts w:asciiTheme="minorHAnsi" w:hAnsiTheme="minorHAnsi"/>
              <w:lang w:val="en-GB"/>
            </w:rPr>
            <w:t>.</w:t>
          </w:r>
        </w:p>
        <w:p w:rsidR="00DC4881" w:rsidRPr="00A8339B" w:rsidRDefault="00C50B7E" w:rsidP="00772896">
          <w:pPr>
            <w:pStyle w:val="ListParagraph"/>
            <w:spacing w:line="360" w:lineRule="auto"/>
            <w:ind w:left="1224"/>
            <w:rPr>
              <w:rFonts w:asciiTheme="minorHAnsi" w:hAnsiTheme="minorHAnsi"/>
              <w:lang w:val="en-GB"/>
            </w:rPr>
          </w:pPr>
        </w:p>
      </w:sdtContent>
    </w:sdt>
    <w:p w:rsidR="00AE30FE" w:rsidRPr="00062614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062614">
        <w:rPr>
          <w:rFonts w:asciiTheme="minorHAnsi" w:hAnsiTheme="minorHAnsi"/>
          <w:b/>
          <w:lang w:val="en-GB"/>
        </w:rPr>
        <w:t>Effects on the ability to drive and use machines</w:t>
      </w:r>
    </w:p>
    <w:sdt>
      <w:sdtPr>
        <w:rPr>
          <w:rFonts w:asciiTheme="minorHAnsi" w:hAnsiTheme="minorHAnsi"/>
          <w:b/>
          <w:lang w:val="en-GB"/>
        </w:rPr>
        <w:id w:val="1476028282"/>
        <w:placeholder>
          <w:docPart w:val="FBFB6A2515C2466B9FD174DDD29FAF26"/>
        </w:placeholder>
      </w:sdtPr>
      <w:sdtEndPr/>
      <w:sdtContent>
        <w:p w:rsidR="00F067BA" w:rsidRDefault="000626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 xml:space="preserve">Based on the </w:t>
          </w:r>
          <w:proofErr w:type="spellStart"/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>pharmacodynamic</w:t>
          </w:r>
          <w:proofErr w:type="spellEnd"/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 xml:space="preserve"> properties and the adverse events profile, it is unlikely that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proofErr w:type="spellStart"/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>R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>abezol</w:t>
          </w:r>
          <w:proofErr w:type="spellEnd"/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 xml:space="preserve"> would cause an impairment of driving performance or compromise the ability to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>use machinery. If however, alertness is impaired due to somnolence, it is recommended that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062614">
            <w:rPr>
              <w:rFonts w:asciiTheme="minorHAnsi" w:hAnsiTheme="minorHAnsi" w:cs="TimesNewRomanPSMT"/>
              <w:kern w:val="0"/>
              <w:lang w:val="en-GB" w:eastAsia="en-US"/>
            </w:rPr>
            <w:t>driving and operating complex machinery be avoided.</w:t>
          </w:r>
        </w:p>
        <w:p w:rsidR="00DC4881" w:rsidRPr="00062614" w:rsidRDefault="00C50B7E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b/>
              <w:lang w:val="en-GB"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Undesirable effects</w:t>
      </w:r>
    </w:p>
    <w:sdt>
      <w:sdtPr>
        <w:rPr>
          <w:rFonts w:asciiTheme="minorHAnsi" w:hAnsiTheme="minorHAnsi"/>
          <w:b/>
        </w:rPr>
        <w:id w:val="-922410184"/>
        <w:placeholder>
          <w:docPart w:val="FBFB6A2515C2466B9FD174DDD29FAF26"/>
        </w:placeholder>
      </w:sdtPr>
      <w:sdtEndPr/>
      <w:sdtContent>
        <w:p w:rsidR="00F303C0" w:rsidRPr="00F303C0" w:rsidRDefault="00F303C0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The majority of adverse events experienced during clinical studies were mild or moderate in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 xml:space="preserve">severity, and transient in nature. The most commonly reported adverse </w:t>
          </w: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lastRenderedPageBreak/>
            <w:t>drug reactions, during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 xml:space="preserve">controlled clinical trials with </w:t>
          </w:r>
          <w:proofErr w:type="spellStart"/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rabepr</w:t>
          </w:r>
          <w:r w:rsidR="00F067BA">
            <w:rPr>
              <w:rFonts w:asciiTheme="minorHAnsi" w:hAnsiTheme="minorHAnsi" w:cs="TimesNewRomanPSMT"/>
              <w:kern w:val="0"/>
              <w:lang w:val="en-GB" w:eastAsia="en-US"/>
            </w:rPr>
            <w:t>azole</w:t>
          </w:r>
          <w:proofErr w:type="spellEnd"/>
          <w:r w:rsidR="00F067BA">
            <w:rPr>
              <w:rFonts w:asciiTheme="minorHAnsi" w:hAnsiTheme="minorHAnsi" w:cs="TimesNewRomanPSMT"/>
              <w:kern w:val="0"/>
              <w:lang w:val="en-GB" w:eastAsia="en-US"/>
            </w:rPr>
            <w:t xml:space="preserve"> were headache, diarrhoea </w:t>
          </w:r>
          <w:r w:rsidR="00F067BA" w:rsidRPr="00F303C0">
            <w:rPr>
              <w:rFonts w:asciiTheme="minorHAnsi" w:hAnsiTheme="minorHAnsi" w:cs="TimesNewRomanPSMT"/>
              <w:kern w:val="0"/>
              <w:lang w:val="en-GB" w:eastAsia="en-US"/>
            </w:rPr>
            <w:t>and nausea</w:t>
          </w: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.</w:t>
          </w:r>
        </w:p>
        <w:p w:rsidR="00F303C0" w:rsidRPr="00F303C0" w:rsidRDefault="00F303C0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The following adverse events have been reported from clinical trial and post-marketed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experience.</w:t>
          </w:r>
        </w:p>
        <w:p w:rsidR="002963E7" w:rsidRDefault="00F303C0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 xml:space="preserve">Frequencies are defined as: common </w:t>
          </w:r>
          <w:proofErr w:type="gramStart"/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( &gt;</w:t>
          </w:r>
          <w:proofErr w:type="gramEnd"/>
          <w:r w:rsidRPr="00F303C0">
            <w:rPr>
              <w:rFonts w:asciiTheme="minorHAnsi" w:hAnsiTheme="minorHAnsi" w:cs="TimesNewRomanPSMT"/>
              <w:kern w:val="0"/>
              <w:lang w:val="en-GB" w:eastAsia="en-US"/>
            </w:rPr>
            <w:t>1/100, &lt;1/10), uncommon ( &gt; 1/1,000, &lt;1/100), rare (&gt;1/10,000, &lt;1/1000) and very rare ( &lt;1/10,000)</w:t>
          </w:r>
        </w:p>
        <w:p w:rsidR="00AF3BD2" w:rsidRDefault="00AF3BD2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tbl>
          <w:tblPr>
            <w:tblStyle w:val="TableGrid"/>
            <w:tblW w:w="9072" w:type="dxa"/>
            <w:tblInd w:w="-5" w:type="dxa"/>
            <w:tblLook w:val="04A0" w:firstRow="1" w:lastRow="0" w:firstColumn="1" w:lastColumn="0" w:noHBand="0" w:noVBand="1"/>
          </w:tblPr>
          <w:tblGrid>
            <w:gridCol w:w="7655"/>
            <w:gridCol w:w="1417"/>
          </w:tblGrid>
          <w:tr w:rsidR="00973FEA" w:rsidRPr="00947504" w:rsidTr="00973FEA">
            <w:trPr>
              <w:tblHeader/>
            </w:trPr>
            <w:tc>
              <w:tcPr>
                <w:tcW w:w="7655" w:type="dxa"/>
                <w:shd w:val="clear" w:color="auto" w:fill="F2F2F2" w:themeFill="background1" w:themeFillShade="F2"/>
              </w:tcPr>
              <w:p w:rsidR="00973FEA" w:rsidRPr="00F067BA" w:rsidRDefault="00973FEA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b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b/>
                    <w:kern w:val="0"/>
                    <w:lang w:val="en-GB" w:eastAsia="en-US"/>
                  </w:rPr>
                  <w:t>System organ class</w:t>
                </w:r>
                <w:r w:rsidR="00F067BA" w:rsidRPr="00F067BA">
                  <w:rPr>
                    <w:rFonts w:asciiTheme="minorHAnsi" w:hAnsiTheme="minorHAnsi" w:cs="TimesNewRomanPSMT"/>
                    <w:b/>
                    <w:kern w:val="0"/>
                    <w:lang w:val="en-GB" w:eastAsia="en-US"/>
                  </w:rPr>
                  <w:t>/ Undesirable effect</w:t>
                </w:r>
              </w:p>
            </w:tc>
            <w:tc>
              <w:tcPr>
                <w:tcW w:w="1417" w:type="dxa"/>
                <w:shd w:val="clear" w:color="auto" w:fill="F2F2F2" w:themeFill="background1" w:themeFillShade="F2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b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b/>
                    <w:kern w:val="0"/>
                    <w:lang w:val="en-GB" w:eastAsia="en-US"/>
                  </w:rPr>
                  <w:t>Frequency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Infections and infestations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nfections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Blood and the lymphatic system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eutropenia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D85D66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leuc</w:t>
                </w:r>
                <w:r w:rsidR="00D85D66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opoenia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thrombocytopenia,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leucocytosis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Immune system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cute systemic allergic reactions (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e.g.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 hypotension and 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dyspnoea)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Metabolism and nutrition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772896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norexia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H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yponatremia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not known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Psychiatric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insomnia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ervousness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D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epression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onfusion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Unknown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Nervous system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H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eadache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dizziness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S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omnolence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Vascular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P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eripheral oedema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Unknown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Eye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V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isual disturbance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Respiratory, thoracic and mediastinal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lastRenderedPageBreak/>
                  <w:t>Cough, pharyngitis, rhinitis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B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ronchitis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sinusitis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Gastrointestinal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973FE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D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iarrhoea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vomiting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nausea</w:t>
                </w:r>
              </w:p>
              <w:p w:rsidR="00973FEA" w:rsidRPr="00F067BA" w:rsidRDefault="00C65C0C" w:rsidP="00973FE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bdominal pain</w:t>
                </w:r>
              </w:p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onstipation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flatulence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D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yspepsia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dry mouth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eructation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G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astritis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stomatitis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taste disturbance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proofErr w:type="spellStart"/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Hepato</w:t>
                </w:r>
                <w:proofErr w:type="spellEnd"/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-biliary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H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epatitis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jaundice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hepatic </w:t>
                </w:r>
                <w:proofErr w:type="spellStart"/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encepholopathy</w:t>
                </w:r>
                <w:proofErr w:type="spellEnd"/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Skin and subcutaneous tissue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ash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erythema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D85D66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Pruritus</w:t>
                </w:r>
                <w:r w:rsidR="00C65C0C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, s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weating</w:t>
                </w:r>
                <w:r w:rsidR="00C65C0C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bullous reactions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973FE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rythema </w:t>
                </w:r>
                <w:proofErr w:type="spellStart"/>
                <w:r w:rsidR="00D85D66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multiform</w:t>
                </w:r>
                <w:r w:rsidR="00D85D66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</w:t>
                </w:r>
                <w:proofErr w:type="spellEnd"/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, toxic epidermal necrolysis (TEN)</w:t>
                </w:r>
              </w:p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Stevens-Johnson syndrome (SJS)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Very 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proofErr w:type="spellStart"/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Muscoskeletal</w:t>
                </w:r>
                <w:proofErr w:type="spellEnd"/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, connective tissue and bone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on-specific pain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back pain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C65C0C">
            <w:trPr>
              <w:trHeight w:val="382"/>
            </w:trPr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M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yalgia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leg cramps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arthralgia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Renal and urinary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rinary tract infection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nterstitial nephritis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Reproductive system and breast disorders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D85D66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Gynecomastia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Unknown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General disorders and administration site conditions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A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sthenia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influenza-like illness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C65C0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hest pain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chills</w:t>
                </w: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 xml:space="preserve">, 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pyrexia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C65C0C">
            <w:tc>
              <w:tcPr>
                <w:tcW w:w="7655" w:type="dxa"/>
                <w:shd w:val="clear" w:color="auto" w:fill="D9D9D9" w:themeFill="background1" w:themeFillShade="D9"/>
              </w:tcPr>
              <w:p w:rsidR="00973FEA" w:rsidRPr="00F067BA" w:rsidRDefault="00973FEA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Investigations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B437E3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I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ncreased hepatic enzymes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Uncommon</w:t>
                </w:r>
              </w:p>
            </w:tc>
          </w:tr>
          <w:tr w:rsidR="00973FEA" w:rsidRPr="00F067BA" w:rsidTr="00973FEA">
            <w:tc>
              <w:tcPr>
                <w:tcW w:w="7655" w:type="dxa"/>
              </w:tcPr>
              <w:p w:rsidR="00973FEA" w:rsidRPr="00F067BA" w:rsidRDefault="00C65C0C" w:rsidP="00973FE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W</w:t>
                </w:r>
                <w:r w:rsidR="00973FEA"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eight increase</w:t>
                </w:r>
              </w:p>
            </w:tc>
            <w:tc>
              <w:tcPr>
                <w:tcW w:w="1417" w:type="dxa"/>
              </w:tcPr>
              <w:p w:rsidR="00973FEA" w:rsidRPr="00F067BA" w:rsidRDefault="00973FEA" w:rsidP="00973FEA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</w:pPr>
                <w:r w:rsidRPr="00F067BA">
                  <w:rPr>
                    <w:rFonts w:asciiTheme="minorHAnsi" w:hAnsiTheme="minorHAnsi" w:cs="TimesNewRomanPSMT"/>
                    <w:kern w:val="0"/>
                    <w:lang w:val="en-GB" w:eastAsia="en-US"/>
                  </w:rPr>
                  <w:t>Rare</w:t>
                </w:r>
              </w:p>
            </w:tc>
          </w:tr>
        </w:tbl>
      </w:sdtContent>
    </w:sdt>
    <w:p w:rsidR="00C63430" w:rsidRPr="00F067BA" w:rsidRDefault="00C63430" w:rsidP="00C63430">
      <w:pPr>
        <w:pStyle w:val="ListParagraph"/>
        <w:spacing w:line="360" w:lineRule="auto"/>
        <w:ind w:left="792"/>
        <w:rPr>
          <w:rFonts w:asciiTheme="minorHAnsi" w:hAnsiTheme="minorHAnsi"/>
          <w:b/>
        </w:rPr>
      </w:pPr>
    </w:p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Overdose</w:t>
      </w:r>
    </w:p>
    <w:sdt>
      <w:sdtPr>
        <w:rPr>
          <w:rFonts w:asciiTheme="minorHAnsi" w:hAnsiTheme="minorHAnsi"/>
          <w:b/>
        </w:rPr>
        <w:id w:val="1043566623"/>
        <w:placeholder>
          <w:docPart w:val="FBFB6A2515C2466B9FD174DDD29FAF26"/>
        </w:placeholder>
      </w:sdtPr>
      <w:sdtEndPr/>
      <w:sdtContent>
        <w:p w:rsidR="00DC4881" w:rsidRPr="008A27B2" w:rsidRDefault="008A27B2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b/>
              <w:lang w:val="en-GB"/>
            </w:rPr>
          </w:pPr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Experience to date with deliberate or accidental overdose is limited. The maximum</w:t>
          </w:r>
          <w:r w:rsidR="004533F5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established exposure has not exceeded 60 mg twice daily, or 160 mg once daily. Effects are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generally minimal, representative of the known adverse event profile and reversible without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 xml:space="preserve">further medical intervention. No specific antidote is known. </w:t>
          </w:r>
          <w:proofErr w:type="spellStart"/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 xml:space="preserve"> is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 xml:space="preserve">extensively protein bound and is, therefore, not </w:t>
          </w:r>
          <w:proofErr w:type="spellStart"/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dialysable</w:t>
          </w:r>
          <w:proofErr w:type="spellEnd"/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. As in any case of overdose,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8A27B2">
            <w:rPr>
              <w:rFonts w:asciiTheme="minorHAnsi" w:hAnsiTheme="minorHAnsi" w:cs="TimesNewRomanPSMT"/>
              <w:kern w:val="0"/>
              <w:lang w:val="en-GB" w:eastAsia="en-US"/>
            </w:rPr>
            <w:t>treatment should be symptomatic and general supportive measures should be utilised.</w:t>
          </w:r>
        </w:p>
      </w:sdtContent>
    </w:sdt>
    <w:p w:rsidR="002B3DDF" w:rsidRPr="008A27B2" w:rsidRDefault="002B3DDF" w:rsidP="00772896">
      <w:pPr>
        <w:pStyle w:val="ListParagraph"/>
        <w:spacing w:line="360" w:lineRule="auto"/>
        <w:ind w:left="360"/>
        <w:rPr>
          <w:rFonts w:asciiTheme="minorHAnsi" w:hAnsiTheme="minorHAnsi"/>
          <w:b/>
          <w:lang w:val="en-GB"/>
        </w:rPr>
      </w:pPr>
    </w:p>
    <w:p w:rsidR="00AE30FE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PHARMACOLOGICAL PROPERTIES</w:t>
      </w:r>
    </w:p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Pharmacodynamic</w:t>
      </w:r>
      <w:proofErr w:type="spellEnd"/>
      <w:r>
        <w:rPr>
          <w:rFonts w:asciiTheme="minorHAnsi" w:hAnsiTheme="minorHAnsi"/>
          <w:b/>
        </w:rPr>
        <w:t xml:space="preserve"> properties</w:t>
      </w:r>
    </w:p>
    <w:p w:rsidR="00F43B67" w:rsidRDefault="00F43B67" w:rsidP="00772896">
      <w:pPr>
        <w:pStyle w:val="ListParagraph"/>
        <w:spacing w:line="360" w:lineRule="auto"/>
        <w:ind w:left="792"/>
        <w:rPr>
          <w:rFonts w:asciiTheme="minorHAnsi" w:hAnsiTheme="minorHAnsi"/>
          <w:b/>
          <w:lang w:val="en-GB"/>
        </w:rPr>
      </w:pPr>
    </w:p>
    <w:p w:rsidR="00F43B67" w:rsidRDefault="00F43B67" w:rsidP="00772896">
      <w:pPr>
        <w:pStyle w:val="ListParagraph"/>
        <w:spacing w:line="360" w:lineRule="auto"/>
        <w:ind w:left="792"/>
        <w:rPr>
          <w:rFonts w:asciiTheme="minorHAnsi" w:hAnsiTheme="minorHAnsi"/>
        </w:rPr>
      </w:pPr>
      <w:r w:rsidRPr="00CF132B">
        <w:rPr>
          <w:rFonts w:asciiTheme="minorHAnsi" w:hAnsiTheme="minorHAnsi"/>
          <w:b/>
          <w:lang w:val="en-GB"/>
        </w:rPr>
        <w:t>Pharmaceutical group</w:t>
      </w:r>
      <w:r w:rsidR="002C025F">
        <w:rPr>
          <w:rFonts w:asciiTheme="minorHAnsi" w:hAnsiTheme="minorHAnsi"/>
          <w:b/>
          <w:lang w:val="en-GB"/>
        </w:rPr>
        <w:t>:</w:t>
      </w:r>
      <w:r w:rsidRPr="00F43B67">
        <w:rPr>
          <w:rFonts w:asciiTheme="minorHAnsi" w:hAnsiTheme="minorHAnsi"/>
        </w:rPr>
        <w:t xml:space="preserve"> </w:t>
      </w:r>
      <w:r w:rsidR="002C025F">
        <w:rPr>
          <w:rFonts w:asciiTheme="minorHAnsi" w:hAnsiTheme="minorHAnsi"/>
        </w:rPr>
        <w:t>p</w:t>
      </w:r>
      <w:r w:rsidRPr="00CF132B">
        <w:rPr>
          <w:rFonts w:asciiTheme="minorHAnsi" w:hAnsiTheme="minorHAnsi"/>
        </w:rPr>
        <w:t>roton pump inhibitor for peptic ulcer and gastro-</w:t>
      </w:r>
      <w:proofErr w:type="spellStart"/>
      <w:r w:rsidRPr="00CF132B">
        <w:rPr>
          <w:rFonts w:asciiTheme="minorHAnsi" w:hAnsiTheme="minorHAnsi"/>
        </w:rPr>
        <w:t>oesophageal</w:t>
      </w:r>
      <w:proofErr w:type="spellEnd"/>
      <w:r w:rsidRPr="00CF132B">
        <w:rPr>
          <w:rFonts w:asciiTheme="minorHAnsi" w:hAnsiTheme="minorHAnsi"/>
        </w:rPr>
        <w:t xml:space="preserve"> reflux disease (GORD</w:t>
      </w:r>
      <w:r>
        <w:rPr>
          <w:rFonts w:asciiTheme="minorHAnsi" w:hAnsiTheme="minorHAnsi"/>
        </w:rPr>
        <w:t>).</w:t>
      </w:r>
    </w:p>
    <w:p w:rsidR="00F43B67" w:rsidRDefault="00F43B67" w:rsidP="00772896">
      <w:pPr>
        <w:pStyle w:val="ListParagraph"/>
        <w:spacing w:line="360" w:lineRule="auto"/>
        <w:ind w:left="792"/>
        <w:rPr>
          <w:rFonts w:asciiTheme="minorHAnsi" w:hAnsiTheme="minorHAnsi"/>
          <w:b/>
          <w:lang w:val="en-GB"/>
        </w:rPr>
      </w:pPr>
      <w:r w:rsidRPr="00CF132B">
        <w:rPr>
          <w:rFonts w:asciiTheme="minorHAnsi" w:hAnsiTheme="minorHAnsi"/>
          <w:b/>
          <w:lang w:val="en-GB"/>
        </w:rPr>
        <w:t xml:space="preserve">ATC </w:t>
      </w:r>
      <w:proofErr w:type="gramStart"/>
      <w:r w:rsidRPr="00CF132B">
        <w:rPr>
          <w:rFonts w:asciiTheme="minorHAnsi" w:hAnsiTheme="minorHAnsi"/>
          <w:b/>
          <w:lang w:val="en-GB"/>
        </w:rPr>
        <w:t>code :</w:t>
      </w:r>
      <w:proofErr w:type="gramEnd"/>
      <w:r w:rsidRPr="00CF132B">
        <w:rPr>
          <w:rFonts w:asciiTheme="minorHAnsi" w:hAnsiTheme="minorHAnsi"/>
          <w:b/>
          <w:lang w:val="en-GB"/>
        </w:rPr>
        <w:t xml:space="preserve"> </w:t>
      </w:r>
      <w:r>
        <w:rPr>
          <w:rFonts w:asciiTheme="minorHAnsi" w:eastAsia="Calibri" w:hAnsiTheme="minorHAnsi" w:cs="TimesNewRomanPSMT"/>
          <w:lang w:val="en-GB"/>
        </w:rPr>
        <w:t xml:space="preserve"> A02BC04</w:t>
      </w:r>
    </w:p>
    <w:sdt>
      <w:sdtPr>
        <w:rPr>
          <w:rFonts w:asciiTheme="minorHAnsi" w:hAnsiTheme="minorHAnsi"/>
          <w:b/>
          <w:lang w:val="en-GB"/>
        </w:rPr>
        <w:id w:val="624739818"/>
        <w:placeholder>
          <w:docPart w:val="FBFB6A2515C2466B9FD174DDD29FAF26"/>
        </w:placeholder>
      </w:sdtPr>
      <w:sdtEndPr/>
      <w:sdtContent>
        <w:p w:rsidR="00CF132B" w:rsidRPr="00CF132B" w:rsidRDefault="00CF132B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iCs/>
              <w:kern w:val="0"/>
              <w:lang w:val="en-GB" w:eastAsia="en-US"/>
            </w:rPr>
          </w:pPr>
          <w:r w:rsidRPr="00AF3BD2">
            <w:rPr>
              <w:rFonts w:asciiTheme="minorHAnsi" w:hAnsiTheme="minorHAnsi"/>
              <w:b/>
              <w:iCs/>
              <w:kern w:val="0"/>
              <w:lang w:val="en-GB" w:eastAsia="en-US"/>
            </w:rPr>
            <w:t>Mechanism of Action</w:t>
          </w:r>
        </w:p>
        <w:p w:rsidR="00CF132B" w:rsidRPr="00CF132B" w:rsidRDefault="00CF132B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proofErr w:type="spellStart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belongs to the class of anti-secretory compounds,</w:t>
          </w:r>
        </w:p>
        <w:p w:rsidR="004533F5" w:rsidRDefault="00CF132B" w:rsidP="004533F5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the substituted </w:t>
          </w:r>
          <w:proofErr w:type="spellStart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benzimidazoles</w:t>
          </w:r>
          <w:proofErr w:type="spellEnd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, that do not exhibit anticholinergic or H2 histamine antagonist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properties, but suppress gastric acid secretion by the specific inhibition of the H+/K+-ATPase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enzyme (the acid or proton pump) The effect is dose-related and leads to inhibition of both basal and stimulated acid secretion irrespective of the stimulus. Animal studies indicate that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after administration, </w:t>
          </w:r>
          <w:proofErr w:type="spellStart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rapidly disappears from both the plasma and gastric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mucosa. As a weak base, </w:t>
          </w:r>
          <w:proofErr w:type="spellStart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 is rapidly absorbed following all doses and is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concentrated in the acid environment of the parietal cells. </w:t>
          </w:r>
          <w:proofErr w:type="spellStart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 is converted to the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active </w:t>
          </w:r>
          <w:proofErr w:type="spellStart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sulphenamide</w:t>
          </w:r>
          <w:proofErr w:type="spellEnd"/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 xml:space="preserve"> form through protonation and it subsequently reacts with the available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CF132B">
            <w:rPr>
              <w:rFonts w:asciiTheme="minorHAnsi" w:hAnsiTheme="minorHAnsi" w:cs="TimesNewRomanPSMT"/>
              <w:kern w:val="0"/>
              <w:lang w:val="en-GB" w:eastAsia="en-US"/>
            </w:rPr>
            <w:t>cysteine on the proton pump.</w:t>
          </w:r>
        </w:p>
        <w:p w:rsidR="00CF132B" w:rsidRPr="00AF3BD2" w:rsidRDefault="00CF132B" w:rsidP="004533F5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="Calibri" w:eastAsia="Calibri" w:hAnsi="Calibri"/>
              <w:b/>
              <w:i/>
              <w:iCs/>
            </w:rPr>
          </w:pPr>
          <w:r w:rsidRPr="00AF3BD2">
            <w:rPr>
              <w:rFonts w:ascii="Calibri" w:eastAsia="Calibri" w:hAnsi="Calibri"/>
              <w:b/>
              <w:iCs/>
            </w:rPr>
            <w:t>Anti-secretory Activity</w:t>
          </w:r>
        </w:p>
        <w:p w:rsidR="00CF132B" w:rsidRPr="002F5F14" w:rsidRDefault="00CF132B" w:rsidP="00772896">
          <w:pPr>
            <w:spacing w:line="360" w:lineRule="auto"/>
            <w:ind w:left="720"/>
            <w:jc w:val="both"/>
            <w:rPr>
              <w:rFonts w:ascii="Calibri" w:eastAsia="Calibri" w:hAnsi="Calibri" w:cs="TimesNewRomanPSMT"/>
              <w:i/>
              <w:u w:val="single"/>
            </w:rPr>
          </w:pPr>
          <w:r w:rsidRPr="00CF132B">
            <w:rPr>
              <w:rFonts w:ascii="Calibri" w:eastAsia="Calibri" w:hAnsi="Calibri" w:cs="TimesNewRomanPSMT"/>
            </w:rPr>
            <w:t xml:space="preserve">After oral administration of a 20 mg dose of </w:t>
          </w:r>
          <w:proofErr w:type="spellStart"/>
          <w:r w:rsidRPr="00CF132B">
            <w:rPr>
              <w:rFonts w:ascii="Calibri" w:eastAsia="Calibri" w:hAnsi="Calibri" w:cs="TimesNewRomanPSMT"/>
            </w:rPr>
            <w:t>rabeprazole</w:t>
          </w:r>
          <w:proofErr w:type="spellEnd"/>
          <w:r w:rsidR="00AF3BD2">
            <w:rPr>
              <w:rFonts w:ascii="Calibri" w:eastAsia="Calibri" w:hAnsi="Calibri" w:cs="TimesNewRomanPSMT"/>
            </w:rPr>
            <w:t xml:space="preserve"> </w:t>
          </w:r>
          <w:r w:rsidRPr="00CF132B">
            <w:rPr>
              <w:rFonts w:ascii="Calibri" w:eastAsia="Calibri" w:hAnsi="Calibri" w:cs="TimesNewRomanPSMT"/>
            </w:rPr>
            <w:t xml:space="preserve">the onset of the anti-secretory effect occurs within 1 hour, with the maximum effect occurring within 2 to 4 hours. </w:t>
          </w:r>
          <w:r w:rsidRPr="00CF132B">
            <w:rPr>
              <w:rFonts w:ascii="Calibri" w:eastAsia="Calibri" w:hAnsi="Calibri" w:cs="TimesNewRomanPSMT"/>
            </w:rPr>
            <w:lastRenderedPageBreak/>
            <w:t xml:space="preserve">Inhibition of basal and food stimulated acid secretion 23 hours after the first dose of </w:t>
          </w:r>
          <w:proofErr w:type="spellStart"/>
          <w:r w:rsidRPr="00CF132B">
            <w:rPr>
              <w:rFonts w:ascii="Calibri" w:eastAsia="Calibri" w:hAnsi="Calibri" w:cs="TimesNewRomanPSMT"/>
            </w:rPr>
            <w:t>rabeprazole</w:t>
          </w:r>
          <w:proofErr w:type="spellEnd"/>
          <w:r w:rsidR="00AF3BD2">
            <w:rPr>
              <w:rFonts w:ascii="Calibri" w:eastAsia="Calibri" w:hAnsi="Calibri" w:cs="TimesNewRomanPSMT"/>
            </w:rPr>
            <w:t xml:space="preserve"> </w:t>
          </w:r>
          <w:r w:rsidRPr="00CF132B">
            <w:rPr>
              <w:rFonts w:ascii="Calibri" w:eastAsia="Calibri" w:hAnsi="Calibri" w:cs="TimesNewRomanPSMT"/>
            </w:rPr>
            <w:t xml:space="preserve">are 69% and 82% respectively and the duration of inhibition lasts up to 48 hours. The inhibitory effect of </w:t>
          </w:r>
          <w:proofErr w:type="spellStart"/>
          <w:r w:rsidRPr="00CF132B">
            <w:rPr>
              <w:rFonts w:ascii="Calibri" w:eastAsia="Calibri" w:hAnsi="Calibri" w:cs="TimesNewRomanPSMT"/>
            </w:rPr>
            <w:t>rabeprazole</w:t>
          </w:r>
          <w:proofErr w:type="spellEnd"/>
          <w:r w:rsidR="00AF3BD2">
            <w:rPr>
              <w:rFonts w:ascii="Calibri" w:eastAsia="Calibri" w:hAnsi="Calibri" w:cs="TimesNewRomanPSMT"/>
            </w:rPr>
            <w:t xml:space="preserve"> </w:t>
          </w:r>
          <w:r w:rsidRPr="00CF132B">
            <w:rPr>
              <w:rFonts w:ascii="Calibri" w:eastAsia="Calibri" w:hAnsi="Calibri" w:cs="TimesNewRomanPSMT"/>
            </w:rPr>
            <w:t xml:space="preserve">on acid secretion increases slightly with repeated once-daily dosing, achieving steady state inhibition after 3 days. When the drug is discontinued, secretory activity </w:t>
          </w:r>
          <w:proofErr w:type="spellStart"/>
          <w:r w:rsidRPr="00CF132B">
            <w:rPr>
              <w:rFonts w:ascii="Calibri" w:eastAsia="Calibri" w:hAnsi="Calibri" w:cs="TimesNewRomanPSMT"/>
            </w:rPr>
            <w:t>normalises</w:t>
          </w:r>
          <w:proofErr w:type="spellEnd"/>
          <w:r w:rsidRPr="00CF132B">
            <w:rPr>
              <w:rFonts w:ascii="Calibri" w:eastAsia="Calibri" w:hAnsi="Calibri" w:cs="TimesNewRomanPSMT"/>
            </w:rPr>
            <w:t xml:space="preserve"> over 2 to 3 days</w:t>
          </w:r>
          <w:r w:rsidRPr="002F5F14">
            <w:rPr>
              <w:rFonts w:ascii="Calibri" w:eastAsia="Calibri" w:hAnsi="Calibri" w:cs="TimesNewRomanPSMT"/>
              <w:i/>
              <w:u w:val="single"/>
            </w:rPr>
            <w:t xml:space="preserve">. </w:t>
          </w:r>
        </w:p>
        <w:p w:rsidR="002F5F14" w:rsidRPr="00AF3BD2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b/>
              <w:iCs/>
              <w:kern w:val="0"/>
              <w:lang w:val="en-GB" w:eastAsia="en-US"/>
            </w:rPr>
          </w:pPr>
          <w:r w:rsidRPr="00AF3BD2">
            <w:rPr>
              <w:rFonts w:asciiTheme="minorHAnsi" w:hAnsiTheme="minorHAnsi"/>
              <w:b/>
              <w:iCs/>
              <w:kern w:val="0"/>
              <w:lang w:val="en-GB" w:eastAsia="en-US"/>
            </w:rPr>
            <w:t>Serum Gastrin Effects</w:t>
          </w:r>
        </w:p>
        <w:p w:rsidR="002F5F14" w:rsidRP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In clinical studies patients were treated once daily with 10 or 20 mg</w:t>
          </w:r>
        </w:p>
        <w:p w:rsid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proofErr w:type="spellStart"/>
          <w:proofErr w:type="gram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,</w:t>
          </w:r>
          <w:proofErr w:type="gramEnd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for up to 43 months duration. Serum gastrin levels increased during the</w:t>
          </w:r>
          <w:r w:rsidR="004967D3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first 2 to 8 weeks reflecting the inhibitory effects on acid secretion and remained stable while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treatment was continued. Gastrin values returned to pre-treatment levels, usually within 1 to 2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weeks after discontinuation of therapy.</w:t>
          </w:r>
        </w:p>
        <w:p w:rsidR="002F5F14" w:rsidRP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2F5F14" w:rsidRPr="00AF3BD2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b/>
              <w:iCs/>
              <w:kern w:val="0"/>
              <w:lang w:val="en-GB" w:eastAsia="en-US"/>
            </w:rPr>
          </w:pPr>
          <w:proofErr w:type="spellStart"/>
          <w:r w:rsidRPr="00AF3BD2">
            <w:rPr>
              <w:rFonts w:asciiTheme="minorHAnsi" w:hAnsiTheme="minorHAnsi"/>
              <w:b/>
              <w:iCs/>
              <w:kern w:val="0"/>
              <w:lang w:val="en-GB" w:eastAsia="en-US"/>
            </w:rPr>
            <w:t>Enterochroma</w:t>
          </w:r>
          <w:r w:rsidR="00354EE2" w:rsidRPr="00AF3BD2">
            <w:rPr>
              <w:rFonts w:asciiTheme="minorHAnsi" w:hAnsiTheme="minorHAnsi"/>
              <w:b/>
              <w:iCs/>
              <w:kern w:val="0"/>
              <w:lang w:val="en-GB" w:eastAsia="en-US"/>
            </w:rPr>
            <w:t>phin</w:t>
          </w:r>
          <w:proofErr w:type="spellEnd"/>
          <w:r w:rsidRPr="00AF3BD2">
            <w:rPr>
              <w:rFonts w:asciiTheme="minorHAnsi" w:hAnsiTheme="minorHAnsi"/>
              <w:b/>
              <w:iCs/>
              <w:kern w:val="0"/>
              <w:lang w:val="en-GB" w:eastAsia="en-US"/>
            </w:rPr>
            <w:t xml:space="preserve"> like (ECL) Cell Effects</w:t>
          </w:r>
        </w:p>
        <w:p w:rsid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Eight weeks periods of </w:t>
          </w:r>
          <w:proofErr w:type="spell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and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comparisons agent applied more than 500 patients taken from the antrum and fundus of the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stomach biopsy specimens, ECL cell histology, </w:t>
          </w:r>
          <w:proofErr w:type="gram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degree</w:t>
          </w:r>
          <w:proofErr w:type="gramEnd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of gastritis, atrophic gastric incidence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of intestinal metaplasia or H. pylori</w:t>
          </w:r>
          <w:r w:rsidR="004533F5">
            <w:rPr>
              <w:rFonts w:asciiTheme="minorHAnsi" w:hAnsiTheme="minorHAnsi" w:cs="TimesNewRomanPSMT"/>
              <w:kern w:val="0"/>
              <w:lang w:val="en-GB" w:eastAsia="en-US"/>
            </w:rPr>
            <w:t>.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There was no change in the distribution of infection.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proofErr w:type="spell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(10 or 20 mg / day) and up to 1 year, more than 400 patients undergoing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treatment, with incidence of ECL hyperplasia and omeprazole (20 mg / day) were compared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with those observed. Thirty-six months continuously monitored over 250 patients under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treatment, no significant changes in the initial phase of the existing evidence has been found.</w:t>
          </w:r>
        </w:p>
        <w:p w:rsidR="002F5F14" w:rsidRP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2F5F14" w:rsidRPr="00AF3BD2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b/>
              <w:iCs/>
              <w:kern w:val="0"/>
              <w:lang w:val="en-GB" w:eastAsia="en-US"/>
            </w:rPr>
          </w:pPr>
          <w:r w:rsidRPr="00AF3BD2">
            <w:rPr>
              <w:rFonts w:asciiTheme="minorHAnsi" w:hAnsiTheme="minorHAnsi"/>
              <w:b/>
              <w:iCs/>
              <w:kern w:val="0"/>
              <w:lang w:val="en-GB" w:eastAsia="en-US"/>
            </w:rPr>
            <w:t>Other Effects</w:t>
          </w:r>
        </w:p>
        <w:p w:rsidR="002F5F14" w:rsidRP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Systemic effects of </w:t>
          </w:r>
          <w:proofErr w:type="spell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in the CNS, cardiovascular and</w:t>
          </w:r>
          <w:r w:rsidR="004533F5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respiratory systems have not been found to date. </w:t>
          </w:r>
          <w:proofErr w:type="spell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, given in oral doses of</w:t>
          </w:r>
          <w:r w:rsidR="004967D3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20 mg for 2 weeks, had no effect on thyroid function, carbohydrate metabolism, or circulating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levels of parathyroid hormone, cortisol, oestrogen, testosterone, prolactin, cholecystokinin,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secretin, glucagon, follicle stimulating hormone (FSH), luteinising hormone (LH), renin,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aldosterone or </w:t>
          </w:r>
          <w:r w:rsidR="00354EE2" w:rsidRPr="002F5F14">
            <w:rPr>
              <w:rFonts w:asciiTheme="minorHAnsi" w:hAnsiTheme="minorHAnsi" w:cs="TimesNewRomanPSMT"/>
              <w:kern w:val="0"/>
              <w:lang w:val="en-GB" w:eastAsia="en-US"/>
            </w:rPr>
            <w:t>somatotropin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hormone.</w:t>
          </w:r>
        </w:p>
        <w:p w:rsidR="00CF132B" w:rsidRPr="002F5F14" w:rsidRDefault="002F5F14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lang w:val="en-GB"/>
            </w:rPr>
          </w:pP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lastRenderedPageBreak/>
            <w:t xml:space="preserve">Studies in healthy subjects have shown that </w:t>
          </w:r>
          <w:proofErr w:type="spell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does not have clinically</w:t>
          </w:r>
          <w:r w:rsidR="004967D3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significant interactions with amoxicillin. </w:t>
          </w:r>
          <w:proofErr w:type="spellStart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does not adversely influence plasma</w:t>
          </w:r>
          <w:r w:rsidR="004967D3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>concentrations of amoxicillin or clarithromycin when co-administered for the purpose of</w:t>
          </w:r>
          <w:r w:rsidR="004967D3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eradicating upper gastrointestinal </w:t>
          </w:r>
          <w:r w:rsidRPr="002C025F">
            <w:rPr>
              <w:rFonts w:asciiTheme="minorHAnsi" w:hAnsiTheme="minorHAnsi" w:cs="TimesNewRomanPSMT"/>
              <w:i/>
              <w:kern w:val="0"/>
              <w:lang w:val="en-GB" w:eastAsia="en-US"/>
            </w:rPr>
            <w:t>H. pylori</w:t>
          </w:r>
          <w:r w:rsidRPr="002F5F14">
            <w:rPr>
              <w:rFonts w:asciiTheme="minorHAnsi" w:hAnsiTheme="minorHAnsi" w:cs="TimesNewRomanPSMT"/>
              <w:kern w:val="0"/>
              <w:lang w:val="en-GB" w:eastAsia="en-US"/>
            </w:rPr>
            <w:t xml:space="preserve"> infection.</w:t>
          </w:r>
        </w:p>
        <w:p w:rsidR="002B3DDF" w:rsidRPr="00CF132B" w:rsidRDefault="00C50B7E" w:rsidP="00772896">
          <w:pPr>
            <w:autoSpaceDE w:val="0"/>
            <w:autoSpaceDN w:val="0"/>
            <w:adjustRightInd w:val="0"/>
            <w:spacing w:after="0" w:line="360" w:lineRule="auto"/>
            <w:ind w:left="720"/>
            <w:rPr>
              <w:rFonts w:asciiTheme="minorHAnsi" w:hAnsiTheme="minorHAnsi"/>
              <w:b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Pharmacokinetic properties</w:t>
      </w:r>
    </w:p>
    <w:sdt>
      <w:sdtPr>
        <w:rPr>
          <w:rFonts w:asciiTheme="minorHAnsi" w:eastAsia="Times New Roman" w:hAnsiTheme="minorHAnsi"/>
          <w:b/>
        </w:rPr>
        <w:id w:val="1836567601"/>
        <w:placeholder>
          <w:docPart w:val="FBFB6A2515C2466B9FD174DDD29FAF26"/>
        </w:placeholder>
      </w:sdtPr>
      <w:sdtEndPr/>
      <w:sdtContent>
        <w:p w:rsidR="006744F0" w:rsidRPr="00813E2B" w:rsidRDefault="006744F0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792"/>
            <w:jc w:val="both"/>
            <w:rPr>
              <w:rFonts w:ascii="Calibri" w:hAnsi="Calibri"/>
              <w:u w:val="single"/>
            </w:rPr>
          </w:pPr>
          <w:r w:rsidRPr="00AF3BD2">
            <w:rPr>
              <w:rFonts w:ascii="Calibri" w:hAnsi="Calibri"/>
              <w:b/>
            </w:rPr>
            <w:t>Absorption</w:t>
          </w:r>
        </w:p>
        <w:p w:rsidR="006744F0" w:rsidRDefault="006744F0" w:rsidP="00772896">
          <w:pPr>
            <w:tabs>
              <w:tab w:val="left" w:pos="680"/>
              <w:tab w:val="left" w:pos="1361"/>
              <w:tab w:val="left" w:pos="1800"/>
            </w:tabs>
            <w:spacing w:line="360" w:lineRule="auto"/>
            <w:ind w:left="792"/>
            <w:jc w:val="both"/>
            <w:rPr>
              <w:rFonts w:ascii="Calibri" w:hAnsi="Calibri"/>
            </w:rPr>
          </w:pPr>
          <w:proofErr w:type="spellStart"/>
          <w:r w:rsidRPr="00813E2B">
            <w:rPr>
              <w:rFonts w:ascii="Calibri" w:hAnsi="Calibri"/>
            </w:rPr>
            <w:t>Rabezol</w:t>
          </w:r>
          <w:proofErr w:type="spellEnd"/>
          <w:r w:rsidRPr="00813E2B">
            <w:rPr>
              <w:rFonts w:ascii="Calibri" w:hAnsi="Calibri"/>
            </w:rPr>
            <w:t xml:space="preserve"> is an enteric-coated (gastro-resistant) tablet formulation of </w:t>
          </w:r>
          <w:proofErr w:type="spellStart"/>
          <w:proofErr w:type="gramStart"/>
          <w:r w:rsidRPr="00813E2B">
            <w:rPr>
              <w:rFonts w:ascii="Calibri" w:hAnsi="Calibri"/>
            </w:rPr>
            <w:t>rabeprazole</w:t>
          </w:r>
          <w:proofErr w:type="spellEnd"/>
          <w:r w:rsidRPr="00813E2B">
            <w:rPr>
              <w:rFonts w:ascii="Calibri" w:hAnsi="Calibri"/>
            </w:rPr>
            <w:t xml:space="preserve"> .</w:t>
          </w:r>
          <w:proofErr w:type="gramEnd"/>
          <w:r w:rsidRPr="00813E2B">
            <w:rPr>
              <w:rFonts w:ascii="Calibri" w:hAnsi="Calibri"/>
            </w:rPr>
            <w:t xml:space="preserve"> This presentation is necessary because </w:t>
          </w:r>
          <w:proofErr w:type="spellStart"/>
          <w:r w:rsidRPr="00813E2B">
            <w:rPr>
              <w:rFonts w:ascii="Calibri" w:hAnsi="Calibri"/>
            </w:rPr>
            <w:t>rabeprazole</w:t>
          </w:r>
          <w:proofErr w:type="spellEnd"/>
          <w:r w:rsidRPr="00813E2B">
            <w:rPr>
              <w:rFonts w:ascii="Calibri" w:hAnsi="Calibri"/>
            </w:rPr>
            <w:t xml:space="preserve"> is acid-labile. Absorption of </w:t>
          </w:r>
          <w:proofErr w:type="spellStart"/>
          <w:r w:rsidRPr="00813E2B">
            <w:rPr>
              <w:rFonts w:ascii="Calibri" w:hAnsi="Calibri"/>
            </w:rPr>
            <w:t>rabeprazole</w:t>
          </w:r>
          <w:proofErr w:type="spellEnd"/>
          <w:r w:rsidRPr="00813E2B">
            <w:rPr>
              <w:rFonts w:ascii="Calibri" w:hAnsi="Calibri"/>
            </w:rPr>
            <w:t xml:space="preserve"> therefore begins only after the tablet leaves the stomach. Absorption is rapid, with peak plasma levels of </w:t>
          </w:r>
          <w:proofErr w:type="spellStart"/>
          <w:r w:rsidRPr="00813E2B">
            <w:rPr>
              <w:rFonts w:ascii="Calibri" w:hAnsi="Calibri"/>
            </w:rPr>
            <w:t>rabeprazole</w:t>
          </w:r>
          <w:proofErr w:type="spellEnd"/>
          <w:r w:rsidRPr="00813E2B">
            <w:rPr>
              <w:rFonts w:ascii="Calibri" w:hAnsi="Calibri"/>
            </w:rPr>
            <w:t xml:space="preserve"> occurring +3.5 hours after a 20 mg dose. Peak plasma concentrations (</w:t>
          </w:r>
          <w:proofErr w:type="spellStart"/>
          <w:r w:rsidRPr="00813E2B">
            <w:rPr>
              <w:rFonts w:ascii="Calibri" w:hAnsi="Calibri"/>
            </w:rPr>
            <w:t>Cmax</w:t>
          </w:r>
          <w:proofErr w:type="spellEnd"/>
          <w:r w:rsidRPr="00813E2B">
            <w:rPr>
              <w:rFonts w:ascii="Calibri" w:hAnsi="Calibri"/>
            </w:rPr>
            <w:t xml:space="preserve">) and AUC are linear over the dose range of 10mg to 40mg. Absolute bioavailability of an oral 20mg dose (compared to intravenous administration) is about 52% due in large part to pre-systemic metabolism. Additionally the bioavailability does not appear to increase with repeat administration. In healthy subjects the plasma half-life is +1 hour (range 0.7 to 1.5 hours), and the total body clearance is estimated to be 283 ± 98 ml/min. Neither food nor the time of day of administration of the treatment affects the absorption of </w:t>
          </w:r>
          <w:proofErr w:type="spellStart"/>
          <w:proofErr w:type="gramStart"/>
          <w:r w:rsidRPr="00813E2B">
            <w:rPr>
              <w:rFonts w:ascii="Calibri" w:hAnsi="Calibri"/>
            </w:rPr>
            <w:t>rabeprazole</w:t>
          </w:r>
          <w:proofErr w:type="spellEnd"/>
          <w:r w:rsidRPr="00813E2B">
            <w:rPr>
              <w:rFonts w:ascii="Calibri" w:hAnsi="Calibri"/>
            </w:rPr>
            <w:t xml:space="preserve"> .</w:t>
          </w:r>
          <w:proofErr w:type="gramEnd"/>
          <w:r w:rsidR="005C4B63">
            <w:rPr>
              <w:rFonts w:ascii="Calibri" w:hAnsi="Calibri"/>
            </w:rPr>
            <w:t xml:space="preserve"> </w:t>
          </w:r>
        </w:p>
        <w:p w:rsidR="00813E2B" w:rsidRPr="00AF3BD2" w:rsidRDefault="00D0457D" w:rsidP="00772896">
          <w:pPr>
            <w:pStyle w:val="ListParagraph"/>
            <w:spacing w:line="360" w:lineRule="auto"/>
            <w:ind w:left="790"/>
            <w:rPr>
              <w:rFonts w:ascii="Calibri" w:hAnsi="Calibri"/>
              <w:b/>
            </w:rPr>
          </w:pPr>
          <w:r w:rsidRPr="00AF3BD2">
            <w:rPr>
              <w:rFonts w:ascii="Calibri" w:hAnsi="Calibri"/>
              <w:b/>
            </w:rPr>
            <w:t>Distribution</w:t>
          </w:r>
        </w:p>
        <w:p w:rsidR="00D0457D" w:rsidRDefault="00813E2B" w:rsidP="00772896">
          <w:pPr>
            <w:pStyle w:val="ListParagraph"/>
            <w:spacing w:line="360" w:lineRule="auto"/>
            <w:ind w:left="790"/>
            <w:rPr>
              <w:rFonts w:ascii="Calibri" w:hAnsi="Calibri"/>
            </w:rPr>
          </w:pPr>
          <w:proofErr w:type="spellStart"/>
          <w:r w:rsidRPr="00813E2B">
            <w:rPr>
              <w:rFonts w:ascii="Calibri" w:hAnsi="Calibri"/>
            </w:rPr>
            <w:t>Rabepazole</w:t>
          </w:r>
          <w:proofErr w:type="spellEnd"/>
          <w:r w:rsidR="00AF3BD2">
            <w:rPr>
              <w:rFonts w:ascii="Calibri" w:hAnsi="Calibri"/>
            </w:rPr>
            <w:t xml:space="preserve"> </w:t>
          </w:r>
          <w:r w:rsidRPr="00813E2B">
            <w:rPr>
              <w:rFonts w:ascii="Calibri" w:hAnsi="Calibri"/>
            </w:rPr>
            <w:t>is approximately</w:t>
          </w:r>
          <w:r w:rsidR="00AF3BD2" w:rsidRPr="00AF3BD2">
            <w:rPr>
              <w:rFonts w:ascii="Calibri" w:hAnsi="Calibri"/>
            </w:rPr>
            <w:t xml:space="preserve"> </w:t>
          </w:r>
          <w:r w:rsidRPr="00813E2B">
            <w:rPr>
              <w:rFonts w:ascii="Calibri" w:hAnsi="Calibri"/>
            </w:rPr>
            <w:t>97% bound to human plasma proteins</w:t>
          </w:r>
          <w:r w:rsidR="005C7639">
            <w:rPr>
              <w:rFonts w:ascii="Calibri" w:hAnsi="Calibri"/>
            </w:rPr>
            <w:t>.</w:t>
          </w:r>
        </w:p>
        <w:p w:rsidR="00AF3BD2" w:rsidRDefault="00AF3BD2" w:rsidP="00772896">
          <w:pPr>
            <w:pStyle w:val="ListParagraph"/>
            <w:spacing w:line="360" w:lineRule="auto"/>
            <w:ind w:left="790"/>
            <w:rPr>
              <w:rFonts w:ascii="Calibri" w:hAnsi="Calibri"/>
            </w:rPr>
          </w:pPr>
        </w:p>
        <w:p w:rsidR="00D0457D" w:rsidRPr="00AF3BD2" w:rsidRDefault="00D0457D" w:rsidP="00772896">
          <w:pPr>
            <w:pStyle w:val="ListParagraph"/>
            <w:spacing w:line="360" w:lineRule="auto"/>
            <w:ind w:left="790"/>
            <w:rPr>
              <w:rFonts w:ascii="Calibri" w:hAnsi="Calibri"/>
              <w:b/>
            </w:rPr>
          </w:pPr>
          <w:r w:rsidRPr="00AF3BD2">
            <w:rPr>
              <w:rFonts w:ascii="Calibri" w:hAnsi="Calibri"/>
              <w:b/>
            </w:rPr>
            <w:t>Metabolism and excretion</w:t>
          </w:r>
        </w:p>
        <w:p w:rsidR="00D0457D" w:rsidRPr="00D0457D" w:rsidRDefault="00D0457D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 w:cs="TimesNewRomanPSMT"/>
              <w:kern w:val="0"/>
              <w:lang w:val="en-GB" w:eastAsia="en-US"/>
            </w:rPr>
          </w:pP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is metabolised through the cytochrome P450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(CYP450) hepatic drug metabolising system. In vitro studies with human liver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microsomes</w:t>
          </w:r>
          <w:proofErr w:type="spellEnd"/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indicated that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is metabolised by isoenzymes of CYP450 (CYP2C19 andCYP3A4). In these studies, at expected human plasma concentrations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neither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induces nor inhibits CYP3A4; and although in vitro studies may not always be predictive of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in vivo status these findings indicate that no interaction is expected between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lastRenderedPageBreak/>
            <w:t>and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cyclosporin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. In humans the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thioether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(M1) and carboxylic acid (M6) are the main plasma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metabolites with the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sulphone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(M2),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desmethyl-thioether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(M4) and mercapturic acid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conjugate (M5) minor metabolites observed at lower levels. Only the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desmethyl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metabolite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(M3) has a small amount of anti-secretory activity, but it is not present in plasma.</w:t>
          </w:r>
        </w:p>
        <w:p w:rsidR="00D0457D" w:rsidRDefault="00D0457D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Following a single 20 mg 14C labelled oral dose of </w:t>
          </w:r>
          <w:proofErr w:type="spellStart"/>
          <w:proofErr w:type="gram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,</w:t>
          </w:r>
          <w:proofErr w:type="gram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no unchanged drug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was excreted in the urine. Approximately 90% of the dose was eliminated in urine mainly as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the two metabolites: a mercapturic acid conjugate (M5) and a carboxylic acid (M6), plus two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unknown metabolites. The remainder of the dose was recovered in faeces.</w:t>
          </w:r>
        </w:p>
        <w:p w:rsidR="00AF3BD2" w:rsidRPr="00D0457D" w:rsidRDefault="00AF3BD2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D0457D" w:rsidRPr="00AF3BD2" w:rsidRDefault="00D0457D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 w:cs="TimesNewRomanPSMT"/>
              <w:b/>
              <w:kern w:val="0"/>
              <w:lang w:val="en-GB" w:eastAsia="en-US"/>
            </w:rPr>
          </w:pPr>
          <w:r w:rsidRPr="00AF3BD2">
            <w:rPr>
              <w:rFonts w:asciiTheme="minorHAnsi" w:hAnsiTheme="minorHAnsi" w:cs="TimesNewRomanPSMT"/>
              <w:b/>
              <w:kern w:val="0"/>
              <w:lang w:val="en-GB" w:eastAsia="en-US"/>
            </w:rPr>
            <w:t>Linearity / non-linearity</w:t>
          </w:r>
        </w:p>
        <w:p w:rsidR="00D0457D" w:rsidRDefault="00D0457D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Pharmacokinetics of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are linear in </w:t>
          </w:r>
          <w:proofErr w:type="spellStart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 xml:space="preserve"> 10 mg</w:t>
          </w:r>
          <w:r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D0457D">
            <w:rPr>
              <w:rFonts w:asciiTheme="minorHAnsi" w:hAnsiTheme="minorHAnsi" w:cs="TimesNewRomanPSMT"/>
              <w:kern w:val="0"/>
              <w:lang w:val="en-GB" w:eastAsia="en-US"/>
            </w:rPr>
            <w:t>and 40 mg dose interval.</w:t>
          </w:r>
        </w:p>
        <w:p w:rsidR="004E57AD" w:rsidRDefault="004E57AD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 w:cs="TimesNewRomanPSMT"/>
              <w:kern w:val="0"/>
              <w:lang w:val="en-GB" w:eastAsia="en-US"/>
            </w:rPr>
          </w:pPr>
        </w:p>
        <w:p w:rsidR="004E57AD" w:rsidRPr="00AF3BD2" w:rsidRDefault="004E57AD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/>
              <w:b/>
              <w:bCs/>
              <w:iCs/>
              <w:kern w:val="0"/>
              <w:lang w:val="en-GB" w:eastAsia="en-US"/>
            </w:rPr>
          </w:pPr>
          <w:r w:rsidRPr="00AF3BD2">
            <w:rPr>
              <w:rFonts w:asciiTheme="minorHAnsi" w:hAnsiTheme="minorHAnsi"/>
              <w:b/>
              <w:bCs/>
              <w:iCs/>
              <w:kern w:val="0"/>
              <w:lang w:val="en-GB" w:eastAsia="en-US"/>
            </w:rPr>
            <w:t>Additional data for special populations</w:t>
          </w:r>
        </w:p>
        <w:p w:rsidR="00AF3BD2" w:rsidRDefault="00AF3BD2" w:rsidP="00772896">
          <w:pPr>
            <w:autoSpaceDE w:val="0"/>
            <w:autoSpaceDN w:val="0"/>
            <w:adjustRightInd w:val="0"/>
            <w:spacing w:after="0" w:line="360" w:lineRule="auto"/>
            <w:ind w:left="718"/>
            <w:rPr>
              <w:rFonts w:asciiTheme="minorHAnsi" w:hAnsiTheme="minorHAnsi"/>
              <w:i/>
              <w:iCs/>
              <w:kern w:val="0"/>
              <w:lang w:val="en-GB" w:eastAsia="en-US"/>
            </w:rPr>
          </w:pPr>
        </w:p>
        <w:p w:rsidR="004E57AD" w:rsidRPr="00AF3BD2" w:rsidRDefault="004E57AD" w:rsidP="00AF3BD2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360" w:lineRule="auto"/>
            <w:ind w:left="1134"/>
            <w:rPr>
              <w:rFonts w:asciiTheme="minorHAnsi" w:hAnsiTheme="minorHAnsi" w:cs="TimesNewRomanPSMT"/>
              <w:kern w:val="0"/>
              <w:lang w:val="en-GB" w:eastAsia="en-US"/>
            </w:rPr>
          </w:pPr>
          <w:r w:rsidRPr="00564A64">
            <w:rPr>
              <w:rFonts w:asciiTheme="minorHAnsi" w:hAnsiTheme="minorHAnsi"/>
              <w:iCs/>
              <w:kern w:val="0"/>
              <w:u w:val="single"/>
              <w:lang w:val="en-GB" w:eastAsia="en-US"/>
            </w:rPr>
            <w:t>Gender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:</w:t>
          </w:r>
          <w:r w:rsidRPr="00AF3BD2">
            <w:rPr>
              <w:rFonts w:asciiTheme="minorHAnsi" w:hAnsiTheme="minorHAnsi"/>
              <w:i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 w:cs="TimesNewRomanPSMT"/>
              <w:kern w:val="0"/>
              <w:lang w:val="en-GB" w:eastAsia="en-US"/>
            </w:rPr>
            <w:t>Adjusted for body mass and height, there are no significant gender differences in</w:t>
          </w:r>
          <w:r w:rsidR="00F23CA4" w:rsidRP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 w:cs="TimesNewRomanPSMT"/>
              <w:kern w:val="0"/>
              <w:lang w:val="en-GB" w:eastAsia="en-US"/>
            </w:rPr>
            <w:t xml:space="preserve">pharmacokinetic parameters following a single 20 mg dose of </w:t>
          </w:r>
          <w:proofErr w:type="spellStart"/>
          <w:r w:rsidRPr="00AF3BD2">
            <w:rPr>
              <w:rFonts w:asciiTheme="minorHAnsi" w:hAnsiTheme="minorHAnsi" w:cs="TimesNewRomanPSMT"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 w:cs="TimesNewRomanPSMT"/>
              <w:kern w:val="0"/>
              <w:lang w:val="en-GB" w:eastAsia="en-US"/>
            </w:rPr>
            <w:t>.</w:t>
          </w:r>
        </w:p>
        <w:p w:rsidR="004E57AD" w:rsidRPr="00AF3BD2" w:rsidRDefault="004E57AD" w:rsidP="00AF3BD2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360" w:lineRule="auto"/>
            <w:ind w:left="1134"/>
            <w:rPr>
              <w:rFonts w:asciiTheme="minorHAnsi" w:hAnsiTheme="minorHAnsi"/>
              <w:iCs/>
              <w:kern w:val="0"/>
              <w:lang w:val="en-GB" w:eastAsia="en-US"/>
            </w:rPr>
          </w:pPr>
          <w:r w:rsidRPr="00564A64">
            <w:rPr>
              <w:rFonts w:asciiTheme="minorHAnsi" w:hAnsiTheme="minorHAnsi"/>
              <w:iCs/>
              <w:kern w:val="0"/>
              <w:u w:val="single"/>
              <w:lang w:val="en-GB" w:eastAsia="en-US"/>
            </w:rPr>
            <w:t>Renal dysfunction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: In patients with stable, end-stage, renal failure requiring maintenance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haemodialysis (creatinine clearance ≤5ml/min/1.73m2), the disposition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was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very similar to that in healthy volunteers. The AUC and the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Cmax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in these patients was about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35% lower than the corresponding parameters in healthy volunteers. The mean half-life of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was 0.82 hours in healthy volunteers, 0.95 hours in patients during haemodialysis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and 3.6 hours post dialysis. The clearance of the drug in patients with renal disease requiring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maintenance haemodialysis was approximately twice that in healthy volunteers.</w:t>
          </w:r>
        </w:p>
        <w:p w:rsidR="004E57AD" w:rsidRPr="00AF3BD2" w:rsidRDefault="004E57AD" w:rsidP="00AF3BD2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360" w:lineRule="auto"/>
            <w:ind w:left="1134"/>
            <w:rPr>
              <w:rFonts w:asciiTheme="minorHAnsi" w:hAnsiTheme="minorHAnsi"/>
              <w:iCs/>
              <w:kern w:val="0"/>
              <w:lang w:val="en-GB" w:eastAsia="en-US"/>
            </w:rPr>
          </w:pPr>
          <w:r w:rsidRPr="00564A64">
            <w:rPr>
              <w:rFonts w:asciiTheme="minorHAnsi" w:hAnsiTheme="minorHAnsi"/>
              <w:iCs/>
              <w:kern w:val="0"/>
              <w:u w:val="single"/>
              <w:lang w:val="en-GB" w:eastAsia="en-US"/>
            </w:rPr>
            <w:t>Hepatic dysfunction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: Following a single 20mg dose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to patients with chronic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mild to moderate hepatic impairment the AUC doubled and there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lastRenderedPageBreak/>
            <w:t>was a 2-3 fold increase in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half-life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compared to the healthy volunteers. However, following a 20mg dose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daily for 7 days the AUC had increased to only 1.5-fold and the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Cmax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to only 1.2-fold. The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half-life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in patients with hepatic impairment was 12.3 hours compared to 2.1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hours in healthy volunteers. The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pharmacodynamic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response (gastric pH control) in the two</w:t>
          </w:r>
          <w:r w:rsidR="00F23CA4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groups was clinically comparable.</w:t>
          </w:r>
        </w:p>
        <w:p w:rsidR="004E57AD" w:rsidRPr="00AF3BD2" w:rsidRDefault="004E57AD" w:rsidP="00AF3BD2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360" w:lineRule="auto"/>
            <w:ind w:left="1134"/>
            <w:rPr>
              <w:rFonts w:asciiTheme="minorHAnsi" w:hAnsiTheme="minorHAnsi"/>
              <w:iCs/>
              <w:kern w:val="0"/>
              <w:lang w:val="en-GB" w:eastAsia="en-US"/>
            </w:rPr>
          </w:pPr>
          <w:r w:rsidRPr="00564A64">
            <w:rPr>
              <w:rFonts w:asciiTheme="minorHAnsi" w:hAnsiTheme="minorHAnsi"/>
              <w:iCs/>
              <w:kern w:val="0"/>
              <w:u w:val="single"/>
              <w:lang w:val="en-GB" w:eastAsia="en-US"/>
            </w:rPr>
            <w:t>Elderly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: Elimination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was somewhat decreased in the elderly. Following 7 days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of daily dosing with 20mg of </w:t>
          </w:r>
          <w:proofErr w:type="spellStart"/>
          <w:proofErr w:type="gram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,</w:t>
          </w:r>
          <w:proofErr w:type="gram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the AUC approximately doubled, the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Cmax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increased by 60% and t½ increased by approximately 30% as compared to young healthy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volunteers. However there was no evidence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accumulation.</w:t>
          </w:r>
        </w:p>
        <w:p w:rsidR="00D0457D" w:rsidRPr="00AF3BD2" w:rsidRDefault="004E57AD" w:rsidP="00AF3BD2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360" w:lineRule="auto"/>
            <w:ind w:left="1134"/>
            <w:rPr>
              <w:rFonts w:asciiTheme="minorHAnsi" w:hAnsiTheme="minorHAnsi"/>
              <w:iCs/>
              <w:kern w:val="0"/>
              <w:lang w:val="en-GB" w:eastAsia="en-US"/>
            </w:rPr>
          </w:pPr>
          <w:r w:rsidRPr="00564A64">
            <w:rPr>
              <w:rFonts w:asciiTheme="minorHAnsi" w:hAnsiTheme="minorHAnsi"/>
              <w:iCs/>
              <w:kern w:val="0"/>
              <w:u w:val="single"/>
              <w:lang w:val="en-GB" w:eastAsia="en-US"/>
            </w:rPr>
            <w:t>CYP2C19 Polymorphism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: Following a 20mg daily dose of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rabeprazole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for 7 days, CYP2C19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slow metabolisers, had AUC and t½ which were approximately 1.9 and 1.6 times the</w:t>
          </w:r>
          <w:r w:rsidR="00196DAE"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</w:t>
          </w:r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corresponding parameters in extensive metabolisers whilst </w:t>
          </w:r>
          <w:proofErr w:type="spellStart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>Cmax</w:t>
          </w:r>
          <w:proofErr w:type="spellEnd"/>
          <w:r w:rsidRPr="00AF3BD2">
            <w:rPr>
              <w:rFonts w:asciiTheme="minorHAnsi" w:hAnsiTheme="minorHAnsi"/>
              <w:iCs/>
              <w:kern w:val="0"/>
              <w:lang w:val="en-GB" w:eastAsia="en-US"/>
            </w:rPr>
            <w:t xml:space="preserve"> had increased by only 40%.</w:t>
          </w:r>
        </w:p>
        <w:p w:rsidR="00D0457D" w:rsidRDefault="00C50B7E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b/>
            </w:rPr>
          </w:pPr>
        </w:p>
      </w:sdtContent>
    </w:sdt>
    <w:p w:rsidR="00AE30FE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Preclinical safety data</w:t>
      </w:r>
    </w:p>
    <w:sdt>
      <w:sdtPr>
        <w:rPr>
          <w:rFonts w:asciiTheme="minorHAnsi" w:hAnsiTheme="minorHAnsi"/>
          <w:b/>
        </w:rPr>
        <w:id w:val="-1863499959"/>
        <w:placeholder>
          <w:docPart w:val="FBFB6A2515C2466B9FD174DDD29FAF26"/>
        </w:placeholder>
      </w:sdtPr>
      <w:sdtEndPr>
        <w:rPr>
          <w:rFonts w:ascii="Times New Roman" w:hAnsi="Times New Roman"/>
        </w:rPr>
      </w:sdtEndPr>
      <w:sdtContent>
        <w:sdt>
          <w:sdtPr>
            <w:rPr>
              <w:rFonts w:asciiTheme="minorHAnsi" w:hAnsiTheme="minorHAnsi"/>
              <w:b/>
            </w:rPr>
            <w:id w:val="-942138288"/>
            <w:placeholder>
              <w:docPart w:val="DefaultPlaceholder_1082065158"/>
            </w:placeholder>
          </w:sdtPr>
          <w:sdtEndPr>
            <w:rPr>
              <w:rFonts w:ascii="Times New Roman" w:hAnsi="Times New Roman"/>
            </w:rPr>
          </w:sdtEndPr>
          <w:sdtContent>
            <w:p w:rsidR="00020360" w:rsidRPr="00020360" w:rsidRDefault="00020360" w:rsidP="00772896">
              <w:pPr>
                <w:autoSpaceDE w:val="0"/>
                <w:autoSpaceDN w:val="0"/>
                <w:adjustRightInd w:val="0"/>
                <w:spacing w:after="0" w:line="360" w:lineRule="auto"/>
                <w:ind w:left="720"/>
                <w:rPr>
                  <w:rFonts w:asciiTheme="minorHAnsi" w:hAnsiTheme="minorHAnsi" w:cs="TimesNewRomanPSMT"/>
                  <w:kern w:val="0"/>
                  <w:lang w:val="en-GB" w:eastAsia="en-US"/>
                </w:rPr>
              </w:pPr>
              <w:r w:rsidRPr="00020360">
                <w:rPr>
                  <w:rFonts w:asciiTheme="minorHAnsi" w:hAnsiTheme="minorHAnsi" w:cs="TimesNewRomanPSMT"/>
                  <w:kern w:val="0"/>
                  <w:lang w:val="en-GB" w:eastAsia="en-US"/>
                </w:rPr>
                <w:t>Non-clinical effects were observed only at exposures sufficiently in excess of the maximum</w:t>
              </w:r>
              <w:r>
                <w:rPr>
                  <w:rFonts w:asciiTheme="minorHAnsi" w:hAnsiTheme="minorHAnsi" w:cs="TimesNewRomanPSMT"/>
                  <w:kern w:val="0"/>
                  <w:lang w:val="en-GB" w:eastAsia="en-US"/>
                </w:rPr>
                <w:t xml:space="preserve"> </w:t>
              </w:r>
              <w:r w:rsidRPr="00020360">
                <w:rPr>
                  <w:rFonts w:asciiTheme="minorHAnsi" w:hAnsiTheme="minorHAnsi" w:cs="TimesNewRomanPSMT"/>
                  <w:kern w:val="0"/>
                  <w:lang w:val="en-GB" w:eastAsia="en-US"/>
                </w:rPr>
                <w:t>human exposure that make concerns for human safety negligible in respect of animal data.</w:t>
              </w:r>
            </w:p>
            <w:p w:rsidR="00020360" w:rsidRPr="00020360" w:rsidRDefault="00020360" w:rsidP="00772896">
              <w:pPr>
                <w:autoSpaceDE w:val="0"/>
                <w:autoSpaceDN w:val="0"/>
                <w:adjustRightInd w:val="0"/>
                <w:spacing w:after="0" w:line="360" w:lineRule="auto"/>
                <w:ind w:left="720"/>
                <w:rPr>
                  <w:rFonts w:asciiTheme="minorHAnsi" w:hAnsiTheme="minorHAnsi" w:cs="TimesNewRomanPSMT"/>
                  <w:kern w:val="0"/>
                  <w:lang w:val="en-GB" w:eastAsia="en-US"/>
                </w:rPr>
              </w:pPr>
              <w:r w:rsidRPr="00020360">
                <w:rPr>
                  <w:rFonts w:asciiTheme="minorHAnsi" w:hAnsiTheme="minorHAnsi" w:cs="TimesNewRomanPSMT"/>
                  <w:kern w:val="0"/>
                  <w:lang w:val="en-GB" w:eastAsia="en-US"/>
                </w:rPr>
                <w:t>Studies on mutagenicity gave equivocal results. Tests in mouse lymphoma cell line were</w:t>
              </w:r>
              <w:r>
                <w:rPr>
                  <w:rFonts w:asciiTheme="minorHAnsi" w:hAnsiTheme="minorHAnsi" w:cs="TimesNewRomanPSMT"/>
                  <w:kern w:val="0"/>
                  <w:lang w:val="en-GB" w:eastAsia="en-US"/>
                </w:rPr>
                <w:t xml:space="preserve"> </w:t>
              </w:r>
              <w:r w:rsidRPr="00020360">
                <w:rPr>
                  <w:rFonts w:asciiTheme="minorHAnsi" w:hAnsiTheme="minorHAnsi" w:cs="TimesNewRomanPSMT"/>
                  <w:kern w:val="0"/>
                  <w:lang w:val="en-GB" w:eastAsia="en-US"/>
                </w:rPr>
                <w:t>positive, but in vivo micronucleus and in vivo and in vitro DNA repair tests were negative.</w:t>
              </w:r>
            </w:p>
            <w:p w:rsidR="002B3DDF" w:rsidRPr="00020360" w:rsidRDefault="00020360" w:rsidP="00772896">
              <w:pPr>
                <w:spacing w:line="360" w:lineRule="auto"/>
                <w:ind w:left="720"/>
                <w:rPr>
                  <w:rFonts w:asciiTheme="minorHAnsi" w:hAnsiTheme="minorHAnsi"/>
                  <w:b/>
                  <w:lang w:val="en-GB"/>
                </w:rPr>
              </w:pPr>
              <w:r w:rsidRPr="00020360">
                <w:rPr>
                  <w:rFonts w:asciiTheme="minorHAnsi" w:hAnsiTheme="minorHAnsi" w:cs="TimesNewRomanPSMT"/>
                  <w:kern w:val="0"/>
                  <w:lang w:val="en-GB" w:eastAsia="en-US"/>
                </w:rPr>
                <w:t>Carcinogenicity studies revealed no special hazard for humans.</w:t>
              </w:r>
            </w:p>
          </w:sdtContent>
        </w:sdt>
      </w:sdtContent>
    </w:sdt>
    <w:p w:rsidR="00564A64" w:rsidRDefault="00564A64">
      <w:pPr>
        <w:spacing w:after="0" w:line="240" w:lineRule="auto"/>
        <w:rPr>
          <w:rFonts w:asciiTheme="minorHAnsi" w:eastAsia="Times New Roman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br w:type="page"/>
      </w:r>
    </w:p>
    <w:p w:rsidR="002B3DDF" w:rsidRPr="00020360" w:rsidRDefault="002B3DDF" w:rsidP="00772896">
      <w:pPr>
        <w:pStyle w:val="ListParagraph"/>
        <w:spacing w:line="360" w:lineRule="auto"/>
        <w:ind w:left="360"/>
        <w:rPr>
          <w:rFonts w:asciiTheme="minorHAnsi" w:hAnsiTheme="minorHAnsi"/>
          <w:b/>
          <w:lang w:val="en-GB"/>
        </w:rPr>
      </w:pPr>
    </w:p>
    <w:p w:rsidR="00AE30FE" w:rsidRPr="00020360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020360">
        <w:rPr>
          <w:rFonts w:asciiTheme="minorHAnsi" w:hAnsiTheme="minorHAnsi"/>
          <w:b/>
          <w:lang w:val="en-GB"/>
        </w:rPr>
        <w:t>PHARMACEUTICAL PARTICULARS</w:t>
      </w:r>
    </w:p>
    <w:p w:rsidR="00AE30FE" w:rsidRPr="00C07243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nl-BE"/>
        </w:rPr>
      </w:pPr>
      <w:r w:rsidRPr="00020360">
        <w:rPr>
          <w:rFonts w:asciiTheme="minorHAnsi" w:hAnsiTheme="minorHAnsi"/>
          <w:b/>
          <w:lang w:val="en-GB"/>
        </w:rPr>
        <w:t>List of e</w:t>
      </w:r>
      <w:proofErr w:type="spellStart"/>
      <w:r w:rsidRPr="00C07243">
        <w:rPr>
          <w:rFonts w:asciiTheme="minorHAnsi" w:hAnsiTheme="minorHAnsi"/>
          <w:b/>
          <w:lang w:val="nl-BE"/>
        </w:rPr>
        <w:t>xcipients</w:t>
      </w:r>
      <w:proofErr w:type="spellEnd"/>
    </w:p>
    <w:sdt>
      <w:sdtPr>
        <w:rPr>
          <w:rFonts w:asciiTheme="minorHAnsi" w:hAnsiTheme="minorHAnsi"/>
          <w:u w:val="single"/>
          <w:lang w:val="en-GB"/>
        </w:rPr>
        <w:id w:val="898626830"/>
        <w:placeholder>
          <w:docPart w:val="FBFB6A2515C2466B9FD174DDD29FAF26"/>
        </w:placeholder>
      </w:sdtPr>
      <w:sdtEndPr/>
      <w:sdtContent>
        <w:p w:rsidR="000C61F4" w:rsidRPr="00EE1DA9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b/>
              <w:lang w:val="en-GB"/>
            </w:rPr>
          </w:pPr>
          <w:r w:rsidRPr="00EE1DA9">
            <w:rPr>
              <w:rFonts w:asciiTheme="minorHAnsi" w:hAnsiTheme="minorHAnsi"/>
              <w:b/>
              <w:lang w:val="en-GB"/>
            </w:rPr>
            <w:t>Core Tablet</w:t>
          </w:r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Mannitol (E421)</w:t>
          </w:r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Magnesium oxide</w:t>
          </w:r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354EE2">
            <w:rPr>
              <w:rFonts w:asciiTheme="minorHAnsi" w:hAnsiTheme="minorHAnsi"/>
              <w:lang w:val="en-GB"/>
            </w:rPr>
            <w:t>Hydroxypropylcellulose</w:t>
          </w:r>
          <w:proofErr w:type="spellEnd"/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 xml:space="preserve">Sodium starch </w:t>
          </w:r>
          <w:proofErr w:type="spellStart"/>
          <w:r w:rsidRPr="00354EE2">
            <w:rPr>
              <w:rFonts w:asciiTheme="minorHAnsi" w:hAnsiTheme="minorHAnsi"/>
              <w:lang w:val="en-GB"/>
            </w:rPr>
            <w:t>glycolate</w:t>
          </w:r>
          <w:proofErr w:type="spellEnd"/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Magnesium stearate</w:t>
          </w:r>
        </w:p>
        <w:p w:rsidR="005D7772" w:rsidRPr="00354EE2" w:rsidRDefault="005D7772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</w:p>
        <w:p w:rsidR="000C61F4" w:rsidRPr="00EE1DA9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b/>
              <w:lang w:val="en-GB"/>
            </w:rPr>
          </w:pPr>
          <w:r w:rsidRPr="00EE1DA9">
            <w:rPr>
              <w:rFonts w:asciiTheme="minorHAnsi" w:hAnsiTheme="minorHAnsi"/>
              <w:b/>
              <w:lang w:val="en-GB"/>
            </w:rPr>
            <w:t>Gastro-resistant coating layers</w:t>
          </w:r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354EE2">
            <w:rPr>
              <w:rFonts w:asciiTheme="minorHAnsi" w:hAnsiTheme="minorHAnsi"/>
              <w:lang w:val="en-GB"/>
            </w:rPr>
            <w:t>Hypromellose</w:t>
          </w:r>
          <w:proofErr w:type="spellEnd"/>
          <w:r w:rsidRPr="00354EE2">
            <w:rPr>
              <w:rFonts w:asciiTheme="minorHAnsi" w:hAnsiTheme="minorHAnsi"/>
              <w:lang w:val="en-GB"/>
            </w:rPr>
            <w:t xml:space="preserve"> </w:t>
          </w:r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Propylene glycol</w:t>
          </w:r>
        </w:p>
        <w:p w:rsidR="000C61F4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Talc</w:t>
          </w:r>
        </w:p>
        <w:p w:rsidR="0066138A" w:rsidRPr="00354EE2" w:rsidRDefault="000C61F4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354EE2">
            <w:rPr>
              <w:rFonts w:asciiTheme="minorHAnsi" w:hAnsiTheme="minorHAnsi"/>
              <w:lang w:val="en-GB"/>
            </w:rPr>
            <w:t>Methacrylic</w:t>
          </w:r>
          <w:proofErr w:type="spellEnd"/>
          <w:r w:rsidRPr="00354EE2">
            <w:rPr>
              <w:rFonts w:asciiTheme="minorHAnsi" w:hAnsiTheme="minorHAnsi"/>
              <w:lang w:val="en-GB"/>
            </w:rPr>
            <w:t xml:space="preserve"> acid </w:t>
          </w:r>
          <w:proofErr w:type="spellStart"/>
          <w:r w:rsidRPr="00354EE2">
            <w:rPr>
              <w:rFonts w:asciiTheme="minorHAnsi" w:hAnsiTheme="minorHAnsi"/>
              <w:lang w:val="en-GB"/>
            </w:rPr>
            <w:t>ethylacetate</w:t>
          </w:r>
          <w:proofErr w:type="spellEnd"/>
          <w:r w:rsidR="0066138A" w:rsidRPr="00354EE2">
            <w:rPr>
              <w:rFonts w:asciiTheme="minorHAnsi" w:hAnsiTheme="minorHAnsi"/>
              <w:lang w:val="en-GB"/>
            </w:rPr>
            <w:t xml:space="preserve"> copolymer 1:1, type A (</w:t>
          </w:r>
          <w:proofErr w:type="spellStart"/>
          <w:r w:rsidR="0066138A" w:rsidRPr="00354EE2">
            <w:rPr>
              <w:rFonts w:asciiTheme="minorHAnsi" w:hAnsiTheme="minorHAnsi"/>
              <w:lang w:val="en-GB"/>
            </w:rPr>
            <w:t>Eudragit</w:t>
          </w:r>
          <w:proofErr w:type="spellEnd"/>
          <w:r w:rsidR="0066138A" w:rsidRPr="00354EE2">
            <w:rPr>
              <w:rFonts w:asciiTheme="minorHAnsi" w:hAnsiTheme="minorHAnsi"/>
              <w:lang w:val="en-GB"/>
            </w:rPr>
            <w:t xml:space="preserve"> L 100/55)</w:t>
          </w:r>
        </w:p>
        <w:p w:rsidR="0066138A" w:rsidRPr="00564A64" w:rsidRDefault="0066138A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nl-BE"/>
            </w:rPr>
          </w:pPr>
          <w:r w:rsidRPr="00564A64">
            <w:rPr>
              <w:rFonts w:asciiTheme="minorHAnsi" w:hAnsiTheme="minorHAnsi"/>
              <w:lang w:val="nl-BE"/>
            </w:rPr>
            <w:t>Titanium dioxide</w:t>
          </w:r>
          <w:r w:rsidR="00564A64" w:rsidRPr="00564A64">
            <w:rPr>
              <w:rFonts w:asciiTheme="minorHAnsi" w:hAnsiTheme="minorHAnsi"/>
              <w:lang w:val="nl-BE"/>
            </w:rPr>
            <w:t xml:space="preserve"> (E171)</w:t>
          </w:r>
        </w:p>
        <w:p w:rsidR="0066138A" w:rsidRPr="00564A64" w:rsidRDefault="0066138A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nl-BE"/>
            </w:rPr>
          </w:pPr>
          <w:proofErr w:type="spellStart"/>
          <w:r w:rsidRPr="00564A64">
            <w:rPr>
              <w:rFonts w:asciiTheme="minorHAnsi" w:hAnsiTheme="minorHAnsi"/>
              <w:lang w:val="nl-BE"/>
            </w:rPr>
            <w:t>Yellow</w:t>
          </w:r>
          <w:proofErr w:type="spellEnd"/>
          <w:r w:rsidRPr="00564A64">
            <w:rPr>
              <w:rFonts w:asciiTheme="minorHAnsi" w:hAnsiTheme="minorHAnsi"/>
              <w:lang w:val="nl-BE"/>
            </w:rPr>
            <w:t xml:space="preserve"> iron oxide</w:t>
          </w:r>
          <w:r w:rsidR="00564A64" w:rsidRPr="00564A64">
            <w:rPr>
              <w:rFonts w:asciiTheme="minorHAnsi" w:hAnsiTheme="minorHAnsi"/>
              <w:lang w:val="nl-BE"/>
            </w:rPr>
            <w:t xml:space="preserve"> (E172)</w:t>
          </w:r>
        </w:p>
        <w:p w:rsidR="0066138A" w:rsidRPr="00354EE2" w:rsidRDefault="0066138A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354EE2">
            <w:rPr>
              <w:rFonts w:asciiTheme="minorHAnsi" w:hAnsiTheme="minorHAnsi"/>
              <w:lang w:val="en-GB"/>
            </w:rPr>
            <w:t>Macrogol</w:t>
          </w:r>
          <w:proofErr w:type="spellEnd"/>
          <w:r w:rsidRPr="00354EE2">
            <w:rPr>
              <w:rFonts w:asciiTheme="minorHAnsi" w:hAnsiTheme="minorHAnsi"/>
              <w:lang w:val="en-GB"/>
            </w:rPr>
            <w:t xml:space="preserve"> (polyethylene glycol)</w:t>
          </w:r>
        </w:p>
        <w:p w:rsidR="005D7772" w:rsidRPr="00354EE2" w:rsidRDefault="0066138A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354EE2">
            <w:rPr>
              <w:rFonts w:asciiTheme="minorHAnsi" w:hAnsiTheme="minorHAnsi"/>
              <w:lang w:val="en-GB"/>
            </w:rPr>
            <w:t>Triethyl</w:t>
          </w:r>
          <w:proofErr w:type="spellEnd"/>
          <w:r w:rsidRPr="00354EE2">
            <w:rPr>
              <w:rFonts w:asciiTheme="minorHAnsi" w:hAnsiTheme="minorHAnsi"/>
              <w:lang w:val="en-GB"/>
            </w:rPr>
            <w:t xml:space="preserve"> citrate</w:t>
          </w:r>
        </w:p>
        <w:p w:rsidR="002B3DDF" w:rsidRPr="00354EE2" w:rsidRDefault="00C50B7E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u w:val="single"/>
              <w:lang w:val="en-GB"/>
            </w:rPr>
          </w:pPr>
        </w:p>
      </w:sdtContent>
    </w:sdt>
    <w:p w:rsidR="00AE30FE" w:rsidRPr="00354EE2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>Incompatibilities</w:t>
      </w:r>
    </w:p>
    <w:sdt>
      <w:sdtPr>
        <w:rPr>
          <w:rFonts w:asciiTheme="minorHAnsi" w:hAnsiTheme="minorHAnsi"/>
          <w:b/>
          <w:lang w:val="en-GB"/>
        </w:rPr>
        <w:id w:val="-1175337613"/>
        <w:placeholder>
          <w:docPart w:val="FBFB6A2515C2466B9FD174DDD29FAF26"/>
        </w:placeholder>
      </w:sdtPr>
      <w:sdtEndPr>
        <w:rPr>
          <w:b w:val="0"/>
        </w:rPr>
      </w:sdtEndPr>
      <w:sdtContent>
        <w:p w:rsidR="002B3DDF" w:rsidRPr="00354EE2" w:rsidRDefault="005D7772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Not applicable</w:t>
          </w:r>
        </w:p>
      </w:sdtContent>
    </w:sdt>
    <w:p w:rsidR="00AE30FE" w:rsidRPr="00354EE2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>Shelf life</w:t>
      </w:r>
    </w:p>
    <w:sdt>
      <w:sdtPr>
        <w:rPr>
          <w:rFonts w:asciiTheme="minorHAnsi" w:hAnsiTheme="minorHAnsi"/>
          <w:b/>
          <w:lang w:val="en-GB"/>
        </w:rPr>
        <w:id w:val="1444260547"/>
        <w:placeholder>
          <w:docPart w:val="FBFB6A2515C2466B9FD174DDD29FAF26"/>
        </w:placeholder>
      </w:sdtPr>
      <w:sdtEndPr>
        <w:rPr>
          <w:b w:val="0"/>
        </w:rPr>
      </w:sdtEndPr>
      <w:sdtContent>
        <w:p w:rsidR="002B3DDF" w:rsidRPr="00354EE2" w:rsidRDefault="005D7772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24 months</w:t>
          </w:r>
        </w:p>
      </w:sdtContent>
    </w:sdt>
    <w:p w:rsidR="00AE30FE" w:rsidRPr="00354EE2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>Special precautions for storage</w:t>
      </w:r>
    </w:p>
    <w:sdt>
      <w:sdtPr>
        <w:rPr>
          <w:rFonts w:asciiTheme="minorHAnsi" w:hAnsiTheme="minorHAnsi"/>
          <w:lang w:val="en-GB"/>
        </w:rPr>
        <w:id w:val="-900049606"/>
        <w:placeholder>
          <w:docPart w:val="FBFB6A2515C2466B9FD174DDD29FAF26"/>
        </w:placeholder>
      </w:sdtPr>
      <w:sdtEndPr/>
      <w:sdtContent>
        <w:p w:rsidR="002B3DDF" w:rsidRPr="00354EE2" w:rsidRDefault="005D7772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Store below 25°C</w:t>
          </w:r>
          <w:r w:rsidR="00355CF6">
            <w:rPr>
              <w:rFonts w:asciiTheme="minorHAnsi" w:hAnsiTheme="minorHAnsi"/>
              <w:lang w:val="en-GB"/>
            </w:rPr>
            <w:t>, in original package to protect from moisture.</w:t>
          </w:r>
        </w:p>
      </w:sdtContent>
    </w:sdt>
    <w:p w:rsidR="00AE30FE" w:rsidRPr="00354EE2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>Nature and contents of container</w:t>
      </w:r>
    </w:p>
    <w:sdt>
      <w:sdtPr>
        <w:rPr>
          <w:rFonts w:asciiTheme="minorHAnsi" w:hAnsiTheme="minorHAnsi"/>
          <w:b/>
          <w:lang w:val="en-GB"/>
        </w:rPr>
        <w:id w:val="1942943172"/>
        <w:placeholder>
          <w:docPart w:val="FBFB6A2515C2466B9FD174DDD29FAF26"/>
        </w:placeholder>
      </w:sdtPr>
      <w:sdtEndPr/>
      <w:sdtContent>
        <w:p w:rsidR="002B3DDF" w:rsidRPr="00354EE2" w:rsidRDefault="005D7772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b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Cardboard box with</w:t>
          </w:r>
          <w:r w:rsidRPr="00354EE2">
            <w:rPr>
              <w:rFonts w:asciiTheme="minorHAnsi" w:hAnsiTheme="minorHAnsi"/>
              <w:b/>
              <w:lang w:val="en-GB"/>
            </w:rPr>
            <w:t xml:space="preserve"> </w:t>
          </w:r>
          <w:r w:rsidRPr="00354EE2">
            <w:rPr>
              <w:rFonts w:asciiTheme="minorHAnsi" w:hAnsiTheme="minorHAnsi"/>
              <w:lang w:val="en-GB"/>
            </w:rPr>
            <w:t xml:space="preserve">14 </w:t>
          </w:r>
          <w:r w:rsidR="00564A64">
            <w:rPr>
              <w:rFonts w:asciiTheme="minorHAnsi" w:hAnsiTheme="minorHAnsi"/>
              <w:lang w:val="en-GB"/>
            </w:rPr>
            <w:t>gastro-resistant, round, yellow</w:t>
          </w:r>
          <w:r w:rsidR="00355CF6">
            <w:rPr>
              <w:rFonts w:asciiTheme="minorHAnsi" w:hAnsiTheme="minorHAnsi"/>
              <w:lang w:val="en-GB"/>
            </w:rPr>
            <w:t xml:space="preserve"> </w:t>
          </w:r>
          <w:r w:rsidRPr="00354EE2">
            <w:rPr>
              <w:rFonts w:asciiTheme="minorHAnsi" w:hAnsiTheme="minorHAnsi"/>
              <w:lang w:val="en-GB"/>
            </w:rPr>
            <w:t>tablets</w:t>
          </w:r>
          <w:r w:rsidR="00355CF6">
            <w:rPr>
              <w:rFonts w:asciiTheme="minorHAnsi" w:hAnsiTheme="minorHAnsi"/>
              <w:lang w:val="en-GB"/>
            </w:rPr>
            <w:t xml:space="preserve">,  </w:t>
          </w:r>
          <w:r w:rsidRPr="00354EE2">
            <w:rPr>
              <w:rFonts w:asciiTheme="minorHAnsi" w:hAnsiTheme="minorHAnsi"/>
              <w:lang w:val="en-GB"/>
            </w:rPr>
            <w:t xml:space="preserve"> packed in Al/Al foil blister</w:t>
          </w:r>
          <w:r w:rsidR="00355CF6">
            <w:rPr>
              <w:rFonts w:asciiTheme="minorHAnsi" w:hAnsiTheme="minorHAnsi"/>
              <w:lang w:val="en-GB"/>
            </w:rPr>
            <w:t xml:space="preserve">, </w:t>
          </w:r>
          <w:r w:rsidRPr="00354EE2">
            <w:rPr>
              <w:rFonts w:asciiTheme="minorHAnsi" w:hAnsiTheme="minorHAnsi"/>
              <w:lang w:val="en-GB"/>
            </w:rPr>
            <w:t xml:space="preserve">and </w:t>
          </w:r>
          <w:r w:rsidR="00564A64">
            <w:rPr>
              <w:rFonts w:asciiTheme="minorHAnsi" w:hAnsiTheme="minorHAnsi"/>
              <w:lang w:val="en-GB"/>
            </w:rPr>
            <w:t xml:space="preserve">a </w:t>
          </w:r>
          <w:r w:rsidRPr="00354EE2">
            <w:rPr>
              <w:rFonts w:asciiTheme="minorHAnsi" w:hAnsiTheme="minorHAnsi"/>
              <w:lang w:val="en-GB"/>
            </w:rPr>
            <w:t>patient leaflet</w:t>
          </w:r>
        </w:p>
      </w:sdtContent>
    </w:sdt>
    <w:p w:rsidR="00AE30FE" w:rsidRPr="00354EE2" w:rsidRDefault="00AE30FE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>Special precautions for disposal and other handlings</w:t>
      </w:r>
    </w:p>
    <w:sdt>
      <w:sdtPr>
        <w:rPr>
          <w:rFonts w:asciiTheme="minorHAnsi" w:hAnsiTheme="minorHAnsi"/>
          <w:b/>
          <w:lang w:val="en-GB"/>
        </w:rPr>
        <w:id w:val="-2017906373"/>
        <w:placeholder>
          <w:docPart w:val="FBFB6A2515C2466B9FD174DDD29FAF26"/>
        </w:placeholder>
      </w:sdtPr>
      <w:sdtEndPr>
        <w:rPr>
          <w:b w:val="0"/>
        </w:rPr>
      </w:sdtEndPr>
      <w:sdtContent>
        <w:p w:rsidR="00564A64" w:rsidRDefault="005D7772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r w:rsidRPr="00354EE2">
            <w:rPr>
              <w:rFonts w:asciiTheme="minorHAnsi" w:hAnsiTheme="minorHAnsi"/>
              <w:lang w:val="en-GB"/>
            </w:rPr>
            <w:t>No special requirements</w:t>
          </w:r>
        </w:p>
        <w:p w:rsidR="002B3DDF" w:rsidRPr="00354EE2" w:rsidRDefault="00564A64" w:rsidP="00564A64">
          <w:pPr>
            <w:pStyle w:val="ListParagraph"/>
            <w:spacing w:after="0"/>
            <w:ind w:left="792"/>
            <w:rPr>
              <w:rFonts w:asciiTheme="minorHAnsi" w:hAnsiTheme="minorHAnsi"/>
              <w:lang w:val="en-GB"/>
            </w:rPr>
          </w:pPr>
          <w:r w:rsidRPr="00452E45">
            <w:rPr>
              <w:rFonts w:asciiTheme="minorHAnsi" w:hAnsiTheme="minorHAnsi"/>
            </w:rPr>
            <w:lastRenderedPageBreak/>
            <w:t xml:space="preserve">Any unused medicine or waste must be disposed of in accordance with the regulations in force. </w:t>
          </w:r>
        </w:p>
      </w:sdtContent>
    </w:sdt>
    <w:p w:rsidR="002B3DDF" w:rsidRPr="00354EE2" w:rsidRDefault="002B3DDF" w:rsidP="00772896">
      <w:pPr>
        <w:pStyle w:val="ListParagraph"/>
        <w:spacing w:line="360" w:lineRule="auto"/>
        <w:ind w:left="360"/>
        <w:rPr>
          <w:rFonts w:asciiTheme="minorHAnsi" w:hAnsiTheme="minorHAnsi"/>
          <w:b/>
          <w:lang w:val="en-GB"/>
        </w:rPr>
      </w:pPr>
    </w:p>
    <w:p w:rsidR="00AE30FE" w:rsidRPr="00354EE2" w:rsidRDefault="00AE30FE" w:rsidP="0077289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>MARKETING AUTHORISATION HOLDER AND MANUFACURING SITE ADDRESS</w:t>
      </w:r>
    </w:p>
    <w:p w:rsidR="002B3DDF" w:rsidRPr="00354EE2" w:rsidRDefault="002B3DDF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354EE2">
        <w:rPr>
          <w:rFonts w:asciiTheme="minorHAnsi" w:hAnsiTheme="minorHAnsi"/>
          <w:b/>
          <w:lang w:val="en-GB"/>
        </w:rPr>
        <w:t xml:space="preserve"> Marketing Authorisation Holder</w:t>
      </w:r>
    </w:p>
    <w:sdt>
      <w:sdtPr>
        <w:rPr>
          <w:rFonts w:asciiTheme="minorHAnsi" w:hAnsiTheme="minorHAnsi"/>
          <w:b/>
          <w:lang w:val="en-GB"/>
        </w:rPr>
        <w:id w:val="1726878269"/>
        <w:placeholder>
          <w:docPart w:val="FBFB6A2515C2466B9FD174DDD29FAF26"/>
        </w:placeholder>
      </w:sdtPr>
      <w:sdtEndPr>
        <w:rPr>
          <w:b w:val="0"/>
        </w:rPr>
      </w:sdtEndPr>
      <w:sdtContent>
        <w:p w:rsidR="002B3DDF" w:rsidRPr="00AA2F73" w:rsidRDefault="000C4D6F" w:rsidP="00772896">
          <w:pPr>
            <w:pStyle w:val="ListParagraph"/>
            <w:spacing w:line="360" w:lineRule="auto"/>
            <w:ind w:left="792"/>
            <w:rPr>
              <w:rFonts w:asciiTheme="minorHAnsi" w:hAnsiTheme="minorHAnsi"/>
              <w:lang w:val="en-GB"/>
            </w:rPr>
          </w:pPr>
          <w:proofErr w:type="spellStart"/>
          <w:r w:rsidRPr="00AA2F73">
            <w:rPr>
              <w:rFonts w:asciiTheme="minorHAnsi" w:hAnsiTheme="minorHAnsi"/>
              <w:lang w:val="en-GB"/>
            </w:rPr>
            <w:t>Dafra</w:t>
          </w:r>
          <w:proofErr w:type="spellEnd"/>
          <w:r w:rsidRPr="00AA2F73">
            <w:rPr>
              <w:rFonts w:asciiTheme="minorHAnsi" w:hAnsiTheme="minorHAnsi"/>
              <w:lang w:val="en-GB"/>
            </w:rPr>
            <w:t xml:space="preserve"> Pharma GmbH, </w:t>
          </w:r>
          <w:proofErr w:type="spellStart"/>
          <w:r w:rsidR="00564A64" w:rsidRPr="00AA2F73">
            <w:rPr>
              <w:rFonts w:asciiTheme="minorHAnsi" w:hAnsiTheme="minorHAnsi"/>
              <w:lang w:val="en-GB"/>
            </w:rPr>
            <w:t>Mühlenber</w:t>
          </w:r>
          <w:r w:rsidR="00AA2F73" w:rsidRPr="00AA2F73">
            <w:rPr>
              <w:rFonts w:asciiTheme="minorHAnsi" w:hAnsiTheme="minorHAnsi"/>
              <w:lang w:val="en-GB"/>
            </w:rPr>
            <w:t>g</w:t>
          </w:r>
          <w:proofErr w:type="spellEnd"/>
          <w:r w:rsidR="00564A64" w:rsidRPr="00AA2F73">
            <w:rPr>
              <w:rFonts w:asciiTheme="minorHAnsi" w:hAnsiTheme="minorHAnsi"/>
              <w:lang w:val="en-GB"/>
            </w:rPr>
            <w:t xml:space="preserve"> 7, 4052 Basel, </w:t>
          </w:r>
          <w:r w:rsidRPr="00AA2F73">
            <w:rPr>
              <w:rFonts w:asciiTheme="minorHAnsi" w:hAnsiTheme="minorHAnsi"/>
              <w:lang w:val="en-GB"/>
            </w:rPr>
            <w:t>Switzerland</w:t>
          </w:r>
        </w:p>
      </w:sdtContent>
    </w:sdt>
    <w:p w:rsidR="002B3DDF" w:rsidRDefault="002B3DDF" w:rsidP="00772896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Manufacturer</w:t>
      </w:r>
    </w:p>
    <w:sdt>
      <w:sdtPr>
        <w:rPr>
          <w:rFonts w:asciiTheme="minorHAnsi" w:hAnsiTheme="minorHAnsi"/>
        </w:rPr>
        <w:id w:val="-1176342980"/>
        <w:placeholder>
          <w:docPart w:val="FBFB6A2515C2466B9FD174DDD29FAF26"/>
        </w:placeholder>
      </w:sdtPr>
      <w:sdtEndPr>
        <w:rPr>
          <w:b/>
        </w:rPr>
      </w:sdtEndPr>
      <w:sdtContent>
        <w:p w:rsidR="00564A64" w:rsidRDefault="00DD6499" w:rsidP="00772896">
          <w:pPr>
            <w:pStyle w:val="ListParagraph"/>
            <w:spacing w:line="360" w:lineRule="auto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Bilim </w:t>
          </w:r>
          <w:r w:rsidR="00564A64">
            <w:rPr>
              <w:rFonts w:asciiTheme="minorHAnsi" w:hAnsiTheme="minorHAnsi"/>
            </w:rPr>
            <w:t xml:space="preserve">Ilaç San.ve. Tic. A.Ş </w:t>
          </w:r>
          <w:proofErr w:type="gramStart"/>
          <w:r w:rsidR="00564A64">
            <w:rPr>
              <w:rFonts w:asciiTheme="minorHAnsi" w:hAnsiTheme="minorHAnsi"/>
            </w:rPr>
            <w:t>( Bilim</w:t>
          </w:r>
          <w:proofErr w:type="gramEnd"/>
          <w:r w:rsidR="00564A64">
            <w:rPr>
              <w:rFonts w:asciiTheme="minorHAnsi" w:hAnsiTheme="minorHAnsi"/>
            </w:rPr>
            <w:t xml:space="preserve"> Pharmaceuticals)</w:t>
          </w:r>
        </w:p>
        <w:p w:rsidR="00AA2F73" w:rsidRDefault="00DD6499" w:rsidP="00772896">
          <w:pPr>
            <w:pStyle w:val="ListParagraph"/>
            <w:spacing w:line="360" w:lineRule="auto"/>
            <w:rPr>
              <w:rFonts w:ascii="Calibri" w:hAnsi="Calibri"/>
              <w:spacing w:val="-1"/>
              <w:lang w:val="en-GB"/>
            </w:rPr>
          </w:pPr>
          <w:r>
            <w:rPr>
              <w:rFonts w:ascii="Calibri" w:hAnsi="Calibri"/>
              <w:spacing w:val="-1"/>
              <w:lang w:val="en-GB"/>
            </w:rPr>
            <w:t xml:space="preserve">GOSB 41480 </w:t>
          </w:r>
          <w:proofErr w:type="spellStart"/>
          <w:r>
            <w:rPr>
              <w:rFonts w:ascii="Calibri" w:hAnsi="Calibri"/>
              <w:spacing w:val="-1"/>
              <w:lang w:val="en-GB"/>
            </w:rPr>
            <w:t>Gebze</w:t>
          </w:r>
          <w:proofErr w:type="spellEnd"/>
          <w:r>
            <w:rPr>
              <w:rFonts w:ascii="Calibri" w:hAnsi="Calibri"/>
              <w:spacing w:val="-1"/>
              <w:lang w:val="en-GB"/>
            </w:rPr>
            <w:t xml:space="preserve">, </w:t>
          </w:r>
          <w:proofErr w:type="spellStart"/>
          <w:r>
            <w:rPr>
              <w:rFonts w:ascii="Calibri" w:hAnsi="Calibri"/>
              <w:spacing w:val="-1"/>
              <w:lang w:val="en-GB"/>
            </w:rPr>
            <w:t>Kocaeli</w:t>
          </w:r>
          <w:proofErr w:type="spellEnd"/>
          <w:r>
            <w:rPr>
              <w:rFonts w:ascii="Calibri" w:hAnsi="Calibri"/>
              <w:spacing w:val="-1"/>
              <w:lang w:val="en-GB"/>
            </w:rPr>
            <w:t>, Turkey</w:t>
          </w:r>
        </w:p>
        <w:p w:rsidR="002B3DDF" w:rsidRPr="00DD6499" w:rsidRDefault="00C50B7E" w:rsidP="00772896">
          <w:pPr>
            <w:pStyle w:val="ListParagraph"/>
            <w:spacing w:line="360" w:lineRule="auto"/>
            <w:rPr>
              <w:rFonts w:asciiTheme="minorHAnsi" w:hAnsiTheme="minorHAnsi"/>
              <w:b/>
            </w:rPr>
          </w:pPr>
        </w:p>
      </w:sdtContent>
    </w:sdt>
    <w:p w:rsidR="00EE1DA9" w:rsidRPr="00EE1DA9" w:rsidRDefault="00EE1DA9" w:rsidP="00EE1DA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EE1DA9">
        <w:rPr>
          <w:rFonts w:asciiTheme="minorHAnsi" w:hAnsiTheme="minorHAnsi"/>
          <w:b/>
          <w:lang w:val="en-GB"/>
        </w:rPr>
        <w:t>MARKETING AUHORISATION NUMBER</w:t>
      </w:r>
    </w:p>
    <w:p w:rsidR="00EE1DA9" w:rsidRDefault="00EE1DA9" w:rsidP="00EE1DA9">
      <w:pPr>
        <w:spacing w:after="0"/>
        <w:ind w:left="709"/>
        <w:rPr>
          <w:rFonts w:asciiTheme="minorHAnsi" w:hAnsiTheme="minorHAnsi"/>
          <w:sz w:val="22"/>
          <w:szCs w:val="22"/>
        </w:rPr>
      </w:pPr>
      <w:r w:rsidRPr="00423A98">
        <w:rPr>
          <w:rFonts w:asciiTheme="minorHAnsi" w:hAnsiTheme="minorHAnsi"/>
          <w:sz w:val="22"/>
          <w:szCs w:val="22"/>
        </w:rPr>
        <w:t>See list of MAs per country</w:t>
      </w:r>
    </w:p>
    <w:p w:rsidR="00AA2F73" w:rsidRPr="00423A98" w:rsidRDefault="00AA2F73" w:rsidP="00EE1DA9">
      <w:pPr>
        <w:spacing w:after="0"/>
        <w:ind w:left="709"/>
        <w:rPr>
          <w:rFonts w:asciiTheme="minorHAnsi" w:hAnsiTheme="minorHAnsi"/>
          <w:sz w:val="22"/>
          <w:szCs w:val="22"/>
        </w:rPr>
      </w:pPr>
    </w:p>
    <w:p w:rsidR="00EE1DA9" w:rsidRPr="00EE1DA9" w:rsidRDefault="00EE1DA9" w:rsidP="00EE1DA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  <w:lang w:val="en-GB"/>
        </w:rPr>
      </w:pPr>
      <w:r w:rsidRPr="00EE1DA9">
        <w:rPr>
          <w:rFonts w:asciiTheme="minorHAnsi" w:hAnsiTheme="minorHAnsi"/>
          <w:b/>
          <w:lang w:val="en-GB"/>
        </w:rPr>
        <w:t xml:space="preserve">DATE OF FIRST REGISTRATION </w:t>
      </w:r>
    </w:p>
    <w:p w:rsidR="00EE1DA9" w:rsidRPr="00423A98" w:rsidRDefault="00EE1DA9" w:rsidP="00EE1DA9">
      <w:pPr>
        <w:spacing w:after="0"/>
        <w:ind w:left="709"/>
        <w:rPr>
          <w:rFonts w:asciiTheme="minorHAnsi" w:hAnsiTheme="minorHAnsi"/>
          <w:sz w:val="22"/>
          <w:szCs w:val="22"/>
        </w:rPr>
      </w:pPr>
      <w:r w:rsidRPr="00423A98">
        <w:rPr>
          <w:rFonts w:asciiTheme="minorHAnsi" w:hAnsiTheme="minorHAnsi"/>
          <w:sz w:val="22"/>
          <w:szCs w:val="22"/>
        </w:rPr>
        <w:t>See list of MAs per country</w:t>
      </w:r>
    </w:p>
    <w:p w:rsidR="00EE1DA9" w:rsidRPr="00DD6499" w:rsidRDefault="00EE1DA9" w:rsidP="00772896">
      <w:pPr>
        <w:pStyle w:val="ListParagraph"/>
        <w:spacing w:line="360" w:lineRule="auto"/>
        <w:ind w:left="360"/>
        <w:rPr>
          <w:rFonts w:asciiTheme="minorHAnsi" w:hAnsiTheme="minorHAnsi"/>
          <w:b/>
        </w:rPr>
      </w:pPr>
    </w:p>
    <w:p w:rsidR="00EA7F33" w:rsidRPr="00EE1DA9" w:rsidRDefault="00EA7F33" w:rsidP="00EE1DA9">
      <w:pPr>
        <w:pStyle w:val="ListParagraph"/>
        <w:numPr>
          <w:ilvl w:val="0"/>
          <w:numId w:val="16"/>
        </w:numPr>
        <w:spacing w:line="360" w:lineRule="auto"/>
        <w:ind w:left="284"/>
        <w:rPr>
          <w:rFonts w:asciiTheme="minorHAnsi" w:hAnsiTheme="minorHAnsi"/>
          <w:b/>
        </w:rPr>
      </w:pPr>
      <w:r w:rsidRPr="00EE1DA9">
        <w:rPr>
          <w:rFonts w:asciiTheme="minorHAnsi" w:hAnsiTheme="minorHAnsi"/>
          <w:b/>
        </w:rPr>
        <w:t>DATE OF REVISION OF TEXT</w:t>
      </w:r>
    </w:p>
    <w:sdt>
      <w:sdtPr>
        <w:rPr>
          <w:rFonts w:asciiTheme="minorHAnsi" w:hAnsiTheme="minorHAnsi"/>
          <w:b/>
        </w:rPr>
        <w:id w:val="2145924221"/>
        <w:placeholder>
          <w:docPart w:val="FBFB6A2515C2466B9FD174DDD29FAF26"/>
        </w:placeholder>
      </w:sdtPr>
      <w:sdtEndPr>
        <w:rPr>
          <w:b w:val="0"/>
        </w:rPr>
      </w:sdtEndPr>
      <w:sdtContent>
        <w:p w:rsidR="002B3DDF" w:rsidRPr="000C4D6F" w:rsidRDefault="00EE1DA9" w:rsidP="00772896">
          <w:pPr>
            <w:pStyle w:val="ListParagraph"/>
            <w:spacing w:line="360" w:lineRule="auto"/>
            <w:ind w:left="360"/>
            <w:rPr>
              <w:rFonts w:asciiTheme="minorHAnsi" w:hAnsiTheme="minorHAnsi"/>
              <w:lang w:val="nl-BE"/>
            </w:rPr>
          </w:pPr>
          <w:r>
            <w:rPr>
              <w:rFonts w:asciiTheme="minorHAnsi" w:hAnsiTheme="minorHAnsi"/>
            </w:rPr>
            <w:t>April 2019</w:t>
          </w:r>
        </w:p>
      </w:sdtContent>
    </w:sdt>
    <w:p w:rsidR="002B3DDF" w:rsidRPr="005A660C" w:rsidRDefault="002B3DDF" w:rsidP="00772896">
      <w:pPr>
        <w:pStyle w:val="ListParagraph"/>
        <w:spacing w:line="360" w:lineRule="auto"/>
        <w:ind w:left="360"/>
        <w:rPr>
          <w:rFonts w:asciiTheme="minorHAnsi" w:hAnsiTheme="minorHAnsi"/>
          <w:b/>
          <w:lang w:val="nl-BE"/>
        </w:rPr>
      </w:pPr>
    </w:p>
    <w:sectPr w:rsidR="002B3DDF" w:rsidRPr="005A66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0F" w:rsidRDefault="003A160F" w:rsidP="000A2791">
      <w:pPr>
        <w:spacing w:after="0" w:line="240" w:lineRule="auto"/>
      </w:pPr>
      <w:r>
        <w:separator/>
      </w:r>
    </w:p>
  </w:endnote>
  <w:endnote w:type="continuationSeparator" w:id="0">
    <w:p w:rsidR="003A160F" w:rsidRDefault="003A160F" w:rsidP="000A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261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7504" w:rsidRDefault="00947504" w:rsidP="00947504">
            <w:pPr>
              <w:pStyle w:val="Footer"/>
              <w:pBdr>
                <w:top w:val="single" w:sz="4" w:space="1" w:color="auto"/>
              </w:pBdr>
            </w:pPr>
            <w:r>
              <w:t xml:space="preserve">April 2019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50B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50B7E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0F" w:rsidRDefault="003A160F" w:rsidP="000A2791">
      <w:pPr>
        <w:spacing w:after="0" w:line="240" w:lineRule="auto"/>
      </w:pPr>
      <w:r>
        <w:separator/>
      </w:r>
    </w:p>
  </w:footnote>
  <w:footnote w:type="continuationSeparator" w:id="0">
    <w:p w:rsidR="003A160F" w:rsidRDefault="003A160F" w:rsidP="000A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A9" w:rsidRPr="00947504" w:rsidRDefault="00EE1DA9" w:rsidP="00947504">
    <w:pPr>
      <w:pStyle w:val="Header"/>
      <w:pBdr>
        <w:bottom w:val="single" w:sz="4" w:space="1" w:color="auto"/>
      </w:pBdr>
    </w:pPr>
    <w:proofErr w:type="spellStart"/>
    <w:r w:rsidRPr="00947504">
      <w:t>Dafra</w:t>
    </w:r>
    <w:proofErr w:type="spellEnd"/>
    <w:r w:rsidRPr="00947504">
      <w:t xml:space="preserve"> Pharma</w:t>
    </w:r>
    <w:r w:rsidRPr="00947504">
      <w:ptab w:relativeTo="margin" w:alignment="center" w:leader="none"/>
    </w:r>
    <w:proofErr w:type="spellStart"/>
    <w:r w:rsidRPr="00947504">
      <w:t>SmPC</w:t>
    </w:r>
    <w:proofErr w:type="spellEnd"/>
    <w:r w:rsidRPr="00947504">
      <w:ptab w:relativeTo="margin" w:alignment="right" w:leader="none"/>
    </w:r>
    <w:proofErr w:type="spellStart"/>
    <w:r w:rsidRPr="00947504">
      <w:t>Rabezol</w:t>
    </w:r>
    <w:proofErr w:type="spellEnd"/>
  </w:p>
  <w:p w:rsidR="00EE1DA9" w:rsidRPr="00947504" w:rsidRDefault="00EE1DA9" w:rsidP="00947504">
    <w:pPr>
      <w:pStyle w:val="Header"/>
      <w:pBdr>
        <w:bottom w:val="single" w:sz="4" w:space="1" w:color="auto"/>
      </w:pBdr>
      <w:rPr>
        <w:u w:val="single"/>
      </w:rPr>
    </w:pPr>
  </w:p>
  <w:p w:rsidR="00EE1DA9" w:rsidRPr="00947504" w:rsidRDefault="00EE1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893"/>
    <w:multiLevelType w:val="hybridMultilevel"/>
    <w:tmpl w:val="F2B46A52"/>
    <w:lvl w:ilvl="0" w:tplc="06B0F0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A17A8"/>
    <w:multiLevelType w:val="hybridMultilevel"/>
    <w:tmpl w:val="6AAEFC4C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38AE2911"/>
    <w:multiLevelType w:val="hybridMultilevel"/>
    <w:tmpl w:val="3C0E50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9D2D46"/>
    <w:multiLevelType w:val="hybridMultilevel"/>
    <w:tmpl w:val="16FE8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5C19E1"/>
    <w:multiLevelType w:val="hybridMultilevel"/>
    <w:tmpl w:val="29A4DE4A"/>
    <w:lvl w:ilvl="0" w:tplc="0674EE9A">
      <w:start w:val="24"/>
      <w:numFmt w:val="bullet"/>
      <w:lvlText w:val="-"/>
      <w:lvlJc w:val="left"/>
      <w:pPr>
        <w:ind w:left="927" w:hanging="360"/>
      </w:pPr>
      <w:rPr>
        <w:rFonts w:ascii="Calibri" w:eastAsia="Calibr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B8037DC"/>
    <w:multiLevelType w:val="multilevel"/>
    <w:tmpl w:val="77FC8B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131FE5"/>
    <w:multiLevelType w:val="multilevel"/>
    <w:tmpl w:val="08090025"/>
    <w:styleLink w:val="Stij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5897863"/>
    <w:multiLevelType w:val="multilevel"/>
    <w:tmpl w:val="10E46C12"/>
    <w:lvl w:ilvl="0">
      <w:start w:val="1"/>
      <w:numFmt w:val="decimal"/>
      <w:pStyle w:val="Heading1"/>
      <w:lvlText w:val="3.2.S.4.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3.2.S.4.%1.%2"/>
      <w:lvlJc w:val="left"/>
      <w:pPr>
        <w:tabs>
          <w:tab w:val="num" w:pos="4687"/>
        </w:tabs>
        <w:ind w:left="4687" w:hanging="576"/>
      </w:pPr>
      <w:rPr>
        <w:rFonts w:hint="default"/>
      </w:rPr>
    </w:lvl>
    <w:lvl w:ilvl="2">
      <w:start w:val="1"/>
      <w:numFmt w:val="decimal"/>
      <w:pStyle w:val="Heading3"/>
      <w:lvlText w:val="3.2.S.4.%1.%2.%3"/>
      <w:lvlJc w:val="left"/>
      <w:pPr>
        <w:tabs>
          <w:tab w:val="num" w:pos="4831"/>
        </w:tabs>
        <w:ind w:left="4831" w:hanging="720"/>
      </w:pPr>
      <w:rPr>
        <w:rFonts w:hint="default"/>
      </w:rPr>
    </w:lvl>
    <w:lvl w:ilvl="3">
      <w:start w:val="1"/>
      <w:numFmt w:val="decimal"/>
      <w:pStyle w:val="Heading4"/>
      <w:lvlText w:val="3.2.S.4.%1.%2.%3.%4"/>
      <w:lvlJc w:val="left"/>
      <w:pPr>
        <w:tabs>
          <w:tab w:val="num" w:pos="4975"/>
        </w:tabs>
        <w:ind w:left="4975" w:hanging="864"/>
      </w:pPr>
      <w:rPr>
        <w:rFonts w:hint="default"/>
      </w:rPr>
    </w:lvl>
    <w:lvl w:ilvl="4">
      <w:start w:val="1"/>
      <w:numFmt w:val="decimal"/>
      <w:pStyle w:val="Heading5"/>
      <w:lvlText w:val="3.2.S.4.%1.%2.%3.%4.%5"/>
      <w:lvlJc w:val="left"/>
      <w:pPr>
        <w:tabs>
          <w:tab w:val="num" w:pos="5119"/>
        </w:tabs>
        <w:ind w:left="5119" w:hanging="1008"/>
      </w:pPr>
      <w:rPr>
        <w:rFonts w:hint="default"/>
      </w:rPr>
    </w:lvl>
    <w:lvl w:ilvl="5">
      <w:start w:val="1"/>
      <w:numFmt w:val="decimal"/>
      <w:pStyle w:val="Heading6"/>
      <w:lvlText w:val="3.2.S.4.%1.%2.%3.%4.%5.%6"/>
      <w:lvlJc w:val="left"/>
      <w:pPr>
        <w:tabs>
          <w:tab w:val="num" w:pos="5263"/>
        </w:tabs>
        <w:ind w:left="5263" w:hanging="1152"/>
      </w:pPr>
      <w:rPr>
        <w:rFonts w:hint="default"/>
      </w:rPr>
    </w:lvl>
    <w:lvl w:ilvl="6">
      <w:start w:val="1"/>
      <w:numFmt w:val="decimal"/>
      <w:pStyle w:val="Heading7"/>
      <w:lvlText w:val="3.2.S.4.%1.%2.%3.%4.%5.%6.%7"/>
      <w:lvlJc w:val="left"/>
      <w:pPr>
        <w:tabs>
          <w:tab w:val="num" w:pos="5407"/>
        </w:tabs>
        <w:ind w:left="5407" w:hanging="1296"/>
      </w:pPr>
      <w:rPr>
        <w:rFonts w:hint="default"/>
      </w:rPr>
    </w:lvl>
    <w:lvl w:ilvl="7">
      <w:start w:val="1"/>
      <w:numFmt w:val="decimal"/>
      <w:pStyle w:val="Heading8"/>
      <w:lvlText w:val="3.2.S.4.%1.%2.%3.%4.%5.%6.%7.%8"/>
      <w:lvlJc w:val="left"/>
      <w:pPr>
        <w:tabs>
          <w:tab w:val="num" w:pos="5551"/>
        </w:tabs>
        <w:ind w:left="5551" w:hanging="1440"/>
      </w:pPr>
      <w:rPr>
        <w:rFonts w:hint="default"/>
      </w:rPr>
    </w:lvl>
    <w:lvl w:ilvl="8">
      <w:start w:val="1"/>
      <w:numFmt w:val="decimal"/>
      <w:pStyle w:val="Heading9"/>
      <w:lvlText w:val="3.2.S.4.%1.%2.%3.%4.%5.%6.%7.%8.%9"/>
      <w:lvlJc w:val="left"/>
      <w:pPr>
        <w:tabs>
          <w:tab w:val="num" w:pos="5695"/>
        </w:tabs>
        <w:ind w:left="5695" w:hanging="1584"/>
      </w:pPr>
      <w:rPr>
        <w:rFonts w:hint="default"/>
      </w:rPr>
    </w:lvl>
  </w:abstractNum>
  <w:abstractNum w:abstractNumId="9" w15:restartNumberingAfterBreak="0">
    <w:nsid w:val="6DD26FAB"/>
    <w:multiLevelType w:val="hybridMultilevel"/>
    <w:tmpl w:val="6DFE24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4"/>
  </w:num>
  <w:num w:numId="15">
    <w:abstractNumId w:val="3"/>
  </w:num>
  <w:num w:numId="16">
    <w:abstractNumId w:val="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0C"/>
    <w:rsid w:val="00020360"/>
    <w:rsid w:val="00062614"/>
    <w:rsid w:val="000A2791"/>
    <w:rsid w:val="000C4D6F"/>
    <w:rsid w:val="000C61F4"/>
    <w:rsid w:val="00103ED8"/>
    <w:rsid w:val="00106FB3"/>
    <w:rsid w:val="0011316A"/>
    <w:rsid w:val="00196DAE"/>
    <w:rsid w:val="00196E75"/>
    <w:rsid w:val="001A7D20"/>
    <w:rsid w:val="001B67D4"/>
    <w:rsid w:val="001D798A"/>
    <w:rsid w:val="001E6312"/>
    <w:rsid w:val="00213C65"/>
    <w:rsid w:val="0023585F"/>
    <w:rsid w:val="00252EA1"/>
    <w:rsid w:val="00254B09"/>
    <w:rsid w:val="002963E7"/>
    <w:rsid w:val="002B3DDF"/>
    <w:rsid w:val="002C025F"/>
    <w:rsid w:val="002D76EE"/>
    <w:rsid w:val="002F5F14"/>
    <w:rsid w:val="002F70A6"/>
    <w:rsid w:val="00300293"/>
    <w:rsid w:val="00343748"/>
    <w:rsid w:val="003452C0"/>
    <w:rsid w:val="00354EE2"/>
    <w:rsid w:val="00355AD2"/>
    <w:rsid w:val="00355CF6"/>
    <w:rsid w:val="003675B6"/>
    <w:rsid w:val="003704B8"/>
    <w:rsid w:val="003800EA"/>
    <w:rsid w:val="0038448C"/>
    <w:rsid w:val="00386479"/>
    <w:rsid w:val="003A160F"/>
    <w:rsid w:val="003E5359"/>
    <w:rsid w:val="00413EA4"/>
    <w:rsid w:val="004453F0"/>
    <w:rsid w:val="004533F5"/>
    <w:rsid w:val="004967D3"/>
    <w:rsid w:val="00496859"/>
    <w:rsid w:val="004D1540"/>
    <w:rsid w:val="004E57AD"/>
    <w:rsid w:val="004F2DC2"/>
    <w:rsid w:val="00557B7F"/>
    <w:rsid w:val="00564A64"/>
    <w:rsid w:val="00594EF2"/>
    <w:rsid w:val="005A5E05"/>
    <w:rsid w:val="005A660C"/>
    <w:rsid w:val="005B7D37"/>
    <w:rsid w:val="005C1562"/>
    <w:rsid w:val="005C2D36"/>
    <w:rsid w:val="005C4B63"/>
    <w:rsid w:val="005C7639"/>
    <w:rsid w:val="005D7772"/>
    <w:rsid w:val="005F3370"/>
    <w:rsid w:val="006177D6"/>
    <w:rsid w:val="00626C94"/>
    <w:rsid w:val="0066138A"/>
    <w:rsid w:val="006744F0"/>
    <w:rsid w:val="00675CEE"/>
    <w:rsid w:val="006771EC"/>
    <w:rsid w:val="006A58D7"/>
    <w:rsid w:val="00713078"/>
    <w:rsid w:val="00740942"/>
    <w:rsid w:val="00772896"/>
    <w:rsid w:val="00781B40"/>
    <w:rsid w:val="00792744"/>
    <w:rsid w:val="007970DD"/>
    <w:rsid w:val="007F312D"/>
    <w:rsid w:val="007F6FC3"/>
    <w:rsid w:val="00813E2B"/>
    <w:rsid w:val="00834A43"/>
    <w:rsid w:val="00854754"/>
    <w:rsid w:val="008711AF"/>
    <w:rsid w:val="0087151B"/>
    <w:rsid w:val="00882E75"/>
    <w:rsid w:val="008A27B2"/>
    <w:rsid w:val="008D2E7A"/>
    <w:rsid w:val="008E4BA3"/>
    <w:rsid w:val="008E4C32"/>
    <w:rsid w:val="00923853"/>
    <w:rsid w:val="00947504"/>
    <w:rsid w:val="00973FEA"/>
    <w:rsid w:val="00987E49"/>
    <w:rsid w:val="009B134D"/>
    <w:rsid w:val="009E3D52"/>
    <w:rsid w:val="00A353C9"/>
    <w:rsid w:val="00A55DB1"/>
    <w:rsid w:val="00A71148"/>
    <w:rsid w:val="00A8339B"/>
    <w:rsid w:val="00AA2F73"/>
    <w:rsid w:val="00AA335E"/>
    <w:rsid w:val="00AB5F16"/>
    <w:rsid w:val="00AE0EC5"/>
    <w:rsid w:val="00AE30FE"/>
    <w:rsid w:val="00AF3BD2"/>
    <w:rsid w:val="00B3775E"/>
    <w:rsid w:val="00B437E3"/>
    <w:rsid w:val="00B472A7"/>
    <w:rsid w:val="00B56147"/>
    <w:rsid w:val="00B9427A"/>
    <w:rsid w:val="00BA00B7"/>
    <w:rsid w:val="00BA0EBD"/>
    <w:rsid w:val="00BF1DCE"/>
    <w:rsid w:val="00BF2EEF"/>
    <w:rsid w:val="00C07243"/>
    <w:rsid w:val="00C16F4A"/>
    <w:rsid w:val="00C21ABA"/>
    <w:rsid w:val="00C2357C"/>
    <w:rsid w:val="00C25297"/>
    <w:rsid w:val="00C50B7E"/>
    <w:rsid w:val="00C63430"/>
    <w:rsid w:val="00C65C0C"/>
    <w:rsid w:val="00C91DD4"/>
    <w:rsid w:val="00C95A97"/>
    <w:rsid w:val="00CC197A"/>
    <w:rsid w:val="00CC1D99"/>
    <w:rsid w:val="00CF132B"/>
    <w:rsid w:val="00D0457D"/>
    <w:rsid w:val="00D51042"/>
    <w:rsid w:val="00D85D66"/>
    <w:rsid w:val="00DC4881"/>
    <w:rsid w:val="00DD2CB5"/>
    <w:rsid w:val="00DD6499"/>
    <w:rsid w:val="00E96159"/>
    <w:rsid w:val="00EA7F33"/>
    <w:rsid w:val="00EB4574"/>
    <w:rsid w:val="00EE1DA9"/>
    <w:rsid w:val="00F035E5"/>
    <w:rsid w:val="00F067BA"/>
    <w:rsid w:val="00F06E22"/>
    <w:rsid w:val="00F23CA4"/>
    <w:rsid w:val="00F303C0"/>
    <w:rsid w:val="00F3148F"/>
    <w:rsid w:val="00F43B67"/>
    <w:rsid w:val="00F613EE"/>
    <w:rsid w:val="00F742C9"/>
    <w:rsid w:val="00F82A17"/>
    <w:rsid w:val="00F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7191CA-1F89-41AF-AB5C-81534BD2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8F"/>
    <w:pPr>
      <w:spacing w:after="240" w:line="300" w:lineRule="auto"/>
    </w:pPr>
    <w:rPr>
      <w:kern w:val="24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F3148F"/>
    <w:pPr>
      <w:keepNext/>
      <w:keepLines/>
      <w:numPr>
        <w:numId w:val="10"/>
      </w:numPr>
      <w:tabs>
        <w:tab w:val="left" w:pos="1152"/>
      </w:tabs>
      <w:spacing w:before="120" w:after="120"/>
      <w:outlineLvl w:val="0"/>
    </w:pPr>
    <w:rPr>
      <w:rFonts w:eastAsia="Times New Roman"/>
      <w:b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3148F"/>
    <w:pPr>
      <w:numPr>
        <w:ilvl w:val="1"/>
      </w:numPr>
      <w:tabs>
        <w:tab w:val="clear" w:pos="1152"/>
        <w:tab w:val="left" w:pos="1404"/>
      </w:tabs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3148F"/>
    <w:pPr>
      <w:numPr>
        <w:ilvl w:val="2"/>
      </w:numPr>
      <w:tabs>
        <w:tab w:val="clear" w:pos="1152"/>
        <w:tab w:val="left" w:pos="1642"/>
      </w:tabs>
      <w:outlineLvl w:val="2"/>
    </w:pPr>
  </w:style>
  <w:style w:type="paragraph" w:styleId="Heading4">
    <w:name w:val="heading 4"/>
    <w:basedOn w:val="Heading1"/>
    <w:next w:val="Normal"/>
    <w:link w:val="Heading4Char"/>
    <w:qFormat/>
    <w:rsid w:val="00F3148F"/>
    <w:pPr>
      <w:numPr>
        <w:ilvl w:val="3"/>
      </w:numPr>
      <w:tabs>
        <w:tab w:val="clear" w:pos="1152"/>
        <w:tab w:val="left" w:pos="1865"/>
      </w:tabs>
      <w:outlineLvl w:val="3"/>
    </w:pPr>
  </w:style>
  <w:style w:type="paragraph" w:styleId="Heading5">
    <w:name w:val="heading 5"/>
    <w:basedOn w:val="Heading1"/>
    <w:next w:val="Normal"/>
    <w:link w:val="Heading5Char"/>
    <w:qFormat/>
    <w:rsid w:val="00F3148F"/>
    <w:pPr>
      <w:numPr>
        <w:ilvl w:val="4"/>
      </w:numPr>
      <w:tabs>
        <w:tab w:val="clear" w:pos="1152"/>
        <w:tab w:val="left" w:pos="2074"/>
      </w:tabs>
      <w:outlineLvl w:val="4"/>
    </w:pPr>
  </w:style>
  <w:style w:type="paragraph" w:styleId="Heading6">
    <w:name w:val="heading 6"/>
    <w:basedOn w:val="Heading1"/>
    <w:next w:val="Normal"/>
    <w:link w:val="Heading6Char"/>
    <w:qFormat/>
    <w:rsid w:val="00F3148F"/>
    <w:pPr>
      <w:numPr>
        <w:ilvl w:val="5"/>
      </w:numPr>
      <w:tabs>
        <w:tab w:val="clear" w:pos="1152"/>
        <w:tab w:val="left" w:pos="2268"/>
      </w:tabs>
      <w:outlineLvl w:val="5"/>
    </w:pPr>
  </w:style>
  <w:style w:type="paragraph" w:styleId="Heading7">
    <w:name w:val="heading 7"/>
    <w:basedOn w:val="Heading1"/>
    <w:next w:val="Normal"/>
    <w:link w:val="Heading7Char"/>
    <w:qFormat/>
    <w:rsid w:val="00F3148F"/>
    <w:pPr>
      <w:numPr>
        <w:ilvl w:val="6"/>
      </w:numPr>
      <w:tabs>
        <w:tab w:val="clear" w:pos="1152"/>
        <w:tab w:val="left" w:pos="2448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F3148F"/>
    <w:pPr>
      <w:numPr>
        <w:ilvl w:val="7"/>
      </w:numPr>
      <w:tabs>
        <w:tab w:val="clear" w:pos="1152"/>
        <w:tab w:val="left" w:pos="2614"/>
      </w:tabs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F3148F"/>
    <w:pPr>
      <w:numPr>
        <w:ilvl w:val="8"/>
      </w:numPr>
      <w:tabs>
        <w:tab w:val="clear" w:pos="1152"/>
        <w:tab w:val="left" w:pos="2765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jl1">
    <w:name w:val="Stijl1"/>
    <w:uiPriority w:val="99"/>
    <w:rsid w:val="00987E4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qFormat/>
    <w:rsid w:val="00F3148F"/>
    <w:pPr>
      <w:keepNext/>
      <w:spacing w:before="240" w:after="120" w:line="240" w:lineRule="auto"/>
      <w:ind w:left="2160" w:hanging="2160"/>
    </w:pPr>
    <w:rPr>
      <w:rFonts w:eastAsia="Times New Roman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F3148F"/>
    <w:pPr>
      <w:keepNext/>
      <w:keepLines/>
      <w:spacing w:after="0"/>
      <w:jc w:val="center"/>
    </w:pPr>
    <w:rPr>
      <w:rFonts w:ascii="Times New Roman Bold" w:eastAsia="Times New Roman" w:hAnsi="Times New Roman Bold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3148F"/>
    <w:rPr>
      <w:rFonts w:ascii="Times New Roman Bold" w:eastAsia="Times New Roman" w:hAnsi="Times New Roman Bold" w:cs="Arial"/>
      <w:b/>
      <w:bCs/>
      <w:kern w:val="28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F3148F"/>
    <w:pPr>
      <w:widowControl w:val="0"/>
      <w:spacing w:after="0" w:line="240" w:lineRule="auto"/>
      <w:ind w:left="240"/>
    </w:pPr>
    <w:rPr>
      <w:rFonts w:eastAsia="Times New Roman" w:cstheme="minorBidi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3148F"/>
    <w:rPr>
      <w:rFonts w:eastAsia="Times New Roman" w:cstheme="minorBid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148F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0A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2791"/>
    <w:rPr>
      <w:kern w:val="24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A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91"/>
    <w:rPr>
      <w:kern w:val="24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131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6A"/>
    <w:rPr>
      <w:rFonts w:ascii="Tahoma" w:hAnsi="Tahoma" w:cs="Tahoma"/>
      <w:kern w:val="24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29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63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3E7"/>
    <w:rPr>
      <w:kern w:val="24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963E7"/>
    <w:rPr>
      <w:vertAlign w:val="superscript"/>
    </w:rPr>
  </w:style>
  <w:style w:type="paragraph" w:customStyle="1" w:styleId="Default">
    <w:name w:val="Default"/>
    <w:rsid w:val="00CF1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kgh\Klanten\Klant-%20Dafra%20Pharma\Templates%20Dafra\Country%20specific\Tanzania\m1\eac_m1.5.1_%20SmP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FB6A2515C2466B9FD174DDD29FA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F382D-8563-4655-B360-0738B14F50EB}"/>
      </w:docPartPr>
      <w:docPartBody>
        <w:p w:rsidR="007A6D48" w:rsidRDefault="004C2213">
          <w:pPr>
            <w:pStyle w:val="FBFB6A2515C2466B9FD174DDD29FAF26"/>
          </w:pPr>
          <w:r w:rsidRPr="008B5CA2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91C95-9A95-414B-AD5B-630AD5A84BE7}"/>
      </w:docPartPr>
      <w:docPartBody>
        <w:p w:rsidR="005B0729" w:rsidRDefault="007A6D48">
          <w:r w:rsidRPr="00932DC1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28528D83094340F49FCBC6A81929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AC84-4952-4CC8-9EB7-4CAE90D3BB40}"/>
      </w:docPartPr>
      <w:docPartBody>
        <w:p w:rsidR="000763A7" w:rsidRDefault="006A5FB3" w:rsidP="006A5FB3">
          <w:pPr>
            <w:pStyle w:val="28528D83094340F49FCBC6A81929CD55"/>
          </w:pPr>
          <w:r w:rsidRPr="008B5CA2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16DCD4ABF8724CA8A87C127A886F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B78A-61C4-48E3-B07B-92AAF699A67F}"/>
      </w:docPartPr>
      <w:docPartBody>
        <w:p w:rsidR="000763A7" w:rsidRDefault="006A5FB3" w:rsidP="006A5FB3">
          <w:pPr>
            <w:pStyle w:val="16DCD4ABF8724CA8A87C127A886F59EA"/>
          </w:pPr>
          <w:r w:rsidRPr="008B5CA2">
            <w:rPr>
              <w:rStyle w:val="PlaceholderText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13"/>
    <w:rsid w:val="000763A7"/>
    <w:rsid w:val="004C2213"/>
    <w:rsid w:val="005B0729"/>
    <w:rsid w:val="00693128"/>
    <w:rsid w:val="006A5FB3"/>
    <w:rsid w:val="007A6D48"/>
    <w:rsid w:val="00B737B6"/>
    <w:rsid w:val="00CB526C"/>
    <w:rsid w:val="00EF6DA6"/>
    <w:rsid w:val="00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3A7"/>
    <w:rPr>
      <w:color w:val="808080"/>
    </w:rPr>
  </w:style>
  <w:style w:type="paragraph" w:customStyle="1" w:styleId="FBFB6A2515C2466B9FD174DDD29FAF26">
    <w:name w:val="FBFB6A2515C2466B9FD174DDD29FAF26"/>
  </w:style>
  <w:style w:type="paragraph" w:customStyle="1" w:styleId="A59F861AD9B74466990C0B6108642ED4">
    <w:name w:val="A59F861AD9B74466990C0B6108642ED4"/>
    <w:rsid w:val="007A6D48"/>
  </w:style>
  <w:style w:type="paragraph" w:customStyle="1" w:styleId="6203CA3A3CB5400C8B4F84B4694A17E2">
    <w:name w:val="6203CA3A3CB5400C8B4F84B4694A17E2"/>
    <w:rsid w:val="00B737B6"/>
  </w:style>
  <w:style w:type="paragraph" w:customStyle="1" w:styleId="28528D83094340F49FCBC6A81929CD55">
    <w:name w:val="28528D83094340F49FCBC6A81929CD55"/>
    <w:rsid w:val="006A5FB3"/>
    <w:pPr>
      <w:spacing w:after="160" w:line="259" w:lineRule="auto"/>
    </w:pPr>
  </w:style>
  <w:style w:type="paragraph" w:customStyle="1" w:styleId="16DCD4ABF8724CA8A87C127A886F59EA">
    <w:name w:val="16DCD4ABF8724CA8A87C127A886F59EA"/>
    <w:rsid w:val="006A5FB3"/>
    <w:pPr>
      <w:spacing w:after="160" w:line="259" w:lineRule="auto"/>
    </w:pPr>
  </w:style>
  <w:style w:type="paragraph" w:customStyle="1" w:styleId="63D3424909C0428CAFA4AA7BD6A965D0">
    <w:name w:val="63D3424909C0428CAFA4AA7BD6A965D0"/>
    <w:rsid w:val="000763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5F8E-952E-401F-A615-0424A61D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eac_m1.5.1_ SmPC.dotx</Template>
  <TotalTime>259</TotalTime>
  <Pages>16</Pages>
  <Words>3448</Words>
  <Characters>18970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SmPC en</vt:lpstr>
      <vt:lpstr/>
    </vt:vector>
  </TitlesOfParts>
  <Company>Dafra Pharma</Company>
  <LinksUpToDate>false</LinksUpToDate>
  <CharactersWithSpaces>22374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 en</dc:title>
  <dc:subject>SRZOLT2</dc:subject>
  <dc:creator>karinkgh; EP</dc:creator>
  <cp:lastModifiedBy>Karin Van Halewijck</cp:lastModifiedBy>
  <cp:revision>7</cp:revision>
  <dcterms:created xsi:type="dcterms:W3CDTF">2019-04-18T14:17:00Z</dcterms:created>
  <dcterms:modified xsi:type="dcterms:W3CDTF">2019-07-05T13:41:00Z</dcterms:modified>
  <cp:version>04-2019</cp:version>
</cp:coreProperties>
</file>